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60" w:type="dxa"/>
            <w:vAlign w:val="bottom"/>
            <w:gridSpan w:val="5"/>
          </w:tcPr>
          <w:p>
            <w:pPr>
              <w:jc w:val="center"/>
              <w:ind w:left="50"/>
              <w:spacing w:after="0"/>
              <w:rPr>
                <w:sz w:val="20"/>
                <w:szCs w:val="20"/>
                <w:color w:val="auto"/>
              </w:rPr>
            </w:pPr>
            <w:r>
              <w:rPr>
                <w:rFonts w:ascii="Arial" w:cs="Arial" w:eastAsia="Arial" w:hAnsi="Arial"/>
                <w:sz w:val="18"/>
                <w:szCs w:val="18"/>
                <w:color w:val="auto"/>
                <w:w w:val="91"/>
              </w:rPr>
              <w:t>Date of Report (Date of earliest event reported): August 7, 2019</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0"/>
              </w:rPr>
              <w:t>(Exact name of registrant as specified in its charter)</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1540" w:type="dxa"/>
            <w:vAlign w:val="bottom"/>
            <w:gridSpan w:val="3"/>
          </w:tcPr>
          <w:p>
            <w:pPr>
              <w:jc w:val="center"/>
              <w:ind w:right="910"/>
              <w:spacing w:after="0"/>
              <w:rPr>
                <w:sz w:val="20"/>
                <w:szCs w:val="20"/>
                <w:color w:val="auto"/>
              </w:rPr>
            </w:pPr>
            <w:r>
              <w:rPr>
                <w:rFonts w:ascii="Arial" w:cs="Arial" w:eastAsia="Arial" w:hAnsi="Arial"/>
                <w:sz w:val="18"/>
                <w:szCs w:val="18"/>
                <w:color w:val="auto"/>
                <w:w w:val="86"/>
              </w:rPr>
              <w:t>Nevada</w:t>
            </w:r>
          </w:p>
        </w:tc>
        <w:tc>
          <w:tcPr>
            <w:tcW w:w="3460" w:type="dxa"/>
            <w:vAlign w:val="bottom"/>
            <w:gridSpan w:val="4"/>
          </w:tcPr>
          <w:p>
            <w:pPr>
              <w:jc w:val="center"/>
              <w:ind w:left="1590"/>
              <w:spacing w:after="0"/>
              <w:rPr>
                <w:sz w:val="20"/>
                <w:szCs w:val="20"/>
                <w:color w:val="auto"/>
              </w:rPr>
            </w:pPr>
            <w:r>
              <w:rPr>
                <w:rFonts w:ascii="Arial" w:cs="Arial" w:eastAsia="Arial" w:hAnsi="Arial"/>
                <w:sz w:val="18"/>
                <w:szCs w:val="18"/>
                <w:color w:val="auto"/>
                <w:w w:val="90"/>
              </w:rPr>
              <w:t>000-53605</w:t>
            </w:r>
          </w:p>
        </w:tc>
        <w:tc>
          <w:tcPr>
            <w:tcW w:w="1500" w:type="dxa"/>
            <w:vAlign w:val="bottom"/>
          </w:tcPr>
          <w:p>
            <w:pPr>
              <w:spacing w:after="0"/>
              <w:rPr>
                <w:sz w:val="24"/>
                <w:szCs w:val="24"/>
                <w:color w:val="auto"/>
              </w:rPr>
            </w:pPr>
          </w:p>
        </w:tc>
        <w:tc>
          <w:tcPr>
            <w:tcW w:w="272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righ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2340" w:type="dxa"/>
            <w:vAlign w:val="bottom"/>
            <w:gridSpan w:val="4"/>
          </w:tcPr>
          <w:p>
            <w:pPr>
              <w:spacing w:after="0"/>
              <w:rPr>
                <w:sz w:val="20"/>
                <w:szCs w:val="20"/>
                <w:color w:val="auto"/>
              </w:rPr>
            </w:pPr>
            <w:r>
              <w:rPr>
                <w:rFonts w:ascii="Arial" w:cs="Arial" w:eastAsia="Arial" w:hAnsi="Arial"/>
                <w:sz w:val="18"/>
                <w:szCs w:val="18"/>
                <w:color w:val="auto"/>
              </w:rPr>
              <w:t>(State or other jurisdiction of</w:t>
            </w:r>
          </w:p>
        </w:tc>
        <w:tc>
          <w:tcPr>
            <w:tcW w:w="4960" w:type="dxa"/>
            <w:vAlign w:val="bottom"/>
            <w:gridSpan w:val="5"/>
          </w:tcPr>
          <w:p>
            <w:pPr>
              <w:jc w:val="center"/>
              <w:ind w:left="70"/>
              <w:spacing w:after="0"/>
              <w:rPr>
                <w:sz w:val="20"/>
                <w:szCs w:val="20"/>
                <w:color w:val="auto"/>
              </w:rPr>
            </w:pPr>
            <w:r>
              <w:rPr>
                <w:rFonts w:ascii="Arial" w:cs="Arial" w:eastAsia="Arial" w:hAnsi="Arial"/>
                <w:sz w:val="18"/>
                <w:szCs w:val="18"/>
                <w:color w:val="auto"/>
                <w:w w:val="93"/>
              </w:rPr>
              <w:t>(Commission File Number)</w:t>
            </w:r>
          </w:p>
        </w:tc>
        <w:tc>
          <w:tcPr>
            <w:tcW w:w="2720" w:type="dxa"/>
            <w:vAlign w:val="bottom"/>
            <w:gridSpan w:val="5"/>
          </w:tcPr>
          <w:p>
            <w:pPr>
              <w:jc w:val="center"/>
              <w:ind w:left="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340" w:type="dxa"/>
            <w:vAlign w:val="bottom"/>
            <w:gridSpan w:val="4"/>
          </w:tcPr>
          <w:p>
            <w:pPr>
              <w:jc w:val="center"/>
              <w:ind w:right="110"/>
              <w:spacing w:after="0"/>
              <w:rPr>
                <w:sz w:val="20"/>
                <w:szCs w:val="20"/>
                <w:color w:val="auto"/>
              </w:rPr>
            </w:pPr>
            <w:r>
              <w:rPr>
                <w:rFonts w:ascii="Arial" w:cs="Arial" w:eastAsia="Arial" w:hAnsi="Arial"/>
                <w:sz w:val="18"/>
                <w:szCs w:val="18"/>
                <w:color w:val="auto"/>
                <w:w w:val="92"/>
              </w:rPr>
              <w:t>incorporation)</w:t>
            </w: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60" w:type="dxa"/>
            <w:vAlign w:val="bottom"/>
            <w:gridSpan w:val="7"/>
          </w:tcPr>
          <w:p>
            <w:pPr>
              <w:jc w:val="center"/>
              <w:ind w:right="2600"/>
              <w:spacing w:after="0"/>
              <w:rPr>
                <w:sz w:val="20"/>
                <w:szCs w:val="20"/>
                <w:color w:val="auto"/>
              </w:rPr>
            </w:pPr>
            <w:r>
              <w:rPr>
                <w:rFonts w:ascii="Arial" w:cs="Arial" w:eastAsia="Arial" w:hAnsi="Arial"/>
                <w:sz w:val="18"/>
                <w:szCs w:val="18"/>
                <w:color w:val="auto"/>
                <w:w w:val="89"/>
              </w:rPr>
              <w:t>400 Water Street, Suite 200, Rochester, MI</w:t>
            </w:r>
          </w:p>
        </w:tc>
        <w:tc>
          <w:tcPr>
            <w:tcW w:w="186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3"/>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6"/>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4"/>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43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472"/>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8"/>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35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2019, we issued a press release announcing the results of operations for the quarter ended June 30, 2019. The press release is furnished with this Current Report on Form 8-K as Exhibit 99.1.</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318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Financial Statements and Exhibits.</w:t>
            </w: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6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620" w:type="dxa"/>
            <w:vAlign w:val="bottom"/>
          </w:tcPr>
          <w:p>
            <w:pPr>
              <w:spacing w:after="0"/>
              <w:rPr>
                <w:sz w:val="16"/>
                <w:szCs w:val="16"/>
                <w:color w:val="auto"/>
              </w:rPr>
            </w:pPr>
          </w:p>
        </w:tc>
        <w:tc>
          <w:tcPr>
            <w:tcW w:w="256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August 7, 2019</w:t>
              </w:r>
            </w:hyperlink>
          </w:p>
        </w:tc>
      </w:tr>
    </w:tbl>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165735</wp:posOffset>
            </wp:positionV>
            <wp:extent cx="189547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40" w:right="2640" w:firstLine="72"/>
        <w:spacing w:after="0" w:line="347" w:lineRule="auto"/>
        <w:rPr>
          <w:sz w:val="20"/>
          <w:szCs w:val="20"/>
          <w:color w:val="auto"/>
        </w:rPr>
      </w:pPr>
      <w:r>
        <w:rPr>
          <w:rFonts w:ascii="Arial" w:cs="Arial" w:eastAsia="Arial" w:hAnsi="Arial"/>
          <w:sz w:val="16"/>
          <w:szCs w:val="16"/>
          <w:b w:val="1"/>
          <w:bCs w:val="1"/>
          <w:color w:val="auto"/>
        </w:rPr>
        <w:t>OptimizeRx Reports Record Second Quarter 2019 Results; Total Revenue Up 37% to $7.0 Million, Net Income up 45% to $407,000 or $0.03 per Diluted Share</w:t>
      </w:r>
    </w:p>
    <w:p>
      <w:pPr>
        <w:spacing w:after="0" w:line="11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 xml:space="preserve">ROCHESTER, MI., (August 7, 2019) — </w:t>
      </w:r>
      <w:r>
        <w:rPr>
          <w:rFonts w:ascii="Arial" w:cs="Arial" w:eastAsia="Arial" w:hAnsi="Arial"/>
          <w:sz w:val="17"/>
          <w:szCs w:val="17"/>
          <w:u w:val="single" w:color="auto"/>
          <w:color w:val="auto"/>
        </w:rPr>
        <w:t>OptimizeRx Corp.</w:t>
      </w:r>
      <w:r>
        <w:rPr>
          <w:rFonts w:ascii="Arial" w:cs="Arial" w:eastAsia="Arial" w:hAnsi="Arial"/>
          <w:sz w:val="17"/>
          <w:szCs w:val="17"/>
          <w:b w:val="1"/>
          <w:bCs w:val="1"/>
          <w:color w:val="auto"/>
        </w:rPr>
        <w:t xml:space="preserve"> </w:t>
      </w:r>
      <w:r>
        <w:rPr>
          <w:rFonts w:ascii="Arial" w:cs="Arial" w:eastAsia="Arial" w:hAnsi="Arial"/>
          <w:sz w:val="17"/>
          <w:szCs w:val="17"/>
          <w:color w:val="auto"/>
        </w:rPr>
        <w:t>(NASDAQ: OPRX), a leading provider of digital health messaging for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reported results for the second quarter ended June 30, 2019. Quarterly comparisons are to the same year-ago quarter.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Financial and Operational Highlights</w:t>
      </w:r>
    </w:p>
    <w:p>
      <w:pPr>
        <w:spacing w:after="0" w:line="121" w:lineRule="exact"/>
        <w:rPr>
          <w:sz w:val="20"/>
          <w:szCs w:val="20"/>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37% to a record $7.0 million.</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from 56.1% to 61.6%.</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totaled a record $407,000, up 45%.</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income up 39% to $1.2 million or $0.09 per diluted share (see definition of non-GAAP measures and reconciliation to GAAP, below).</w:t>
      </w:r>
    </w:p>
    <w:p>
      <w:pPr>
        <w:spacing w:after="0" w:line="140" w:lineRule="exact"/>
        <w:rPr>
          <w:rFonts w:ascii="Arial" w:cs="Arial" w:eastAsia="Arial" w:hAnsi="Arial"/>
          <w:sz w:val="16"/>
          <w:szCs w:val="16"/>
          <w:color w:val="auto"/>
        </w:rPr>
      </w:pPr>
    </w:p>
    <w:p>
      <w:pPr>
        <w:ind w:left="340" w:hanging="251"/>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Raised net proceeds of $21.3 million in an underwritten public offering to solidify balance sheet and to provide growth capital for potential acquisitions.</w:t>
      </w:r>
    </w:p>
    <w:p>
      <w:pPr>
        <w:spacing w:after="0" w:line="140" w:lineRule="exact"/>
        <w:rPr>
          <w:rFonts w:ascii="Arial" w:cs="Arial" w:eastAsia="Arial" w:hAnsi="Arial"/>
          <w:sz w:val="16"/>
          <w:szCs w:val="16"/>
          <w:color w:val="auto"/>
        </w:rPr>
      </w:pPr>
    </w:p>
    <w:p>
      <w:pPr>
        <w:ind w:left="340" w:right="240" w:hanging="251"/>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team to support growth, including adding a new chief commercial officer, a VP of sales to focus on the hospital market, and three additional VPs of sales to call on pharma.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Financial Summary</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revenue in the second quarter of 2019 increased 37% to a record $7.0 million from $5.1 million in the same year-ago quarter. The increase was primarily due to increased sales of messaging products.</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margin improved to 61.6% in the second quarter of 2019 from 56.1% in the year-ago quarter. The improvement was due to a favorable shift in product mix. The company expects to maintain gross margins of at least 60% on a quarterly basis for the remainder of 2019.</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expenses totaled $3.8 million, up from $2.6 million in the same year-ago quarter. The increase was related to additional expenses from growth initiatives, as well as the acquisition of CareSpeak Communications which occurred in October 2018.</w:t>
      </w:r>
    </w:p>
    <w:p>
      <w:pPr>
        <w:spacing w:after="0" w:line="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income on a GAAP basis in the second quarter of 2019 was a record $407,000 or $0.03 per share, as compared to net income of $281,000 or $0.02 per share in the year-ago quarter.</w:t>
      </w:r>
    </w:p>
    <w:p>
      <w:pPr>
        <w:spacing w:after="0" w:line="8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Non-GAAP net income for the second quarter of 2019 was up 39% to $1.2 million or $0.09 per diluted share, compared to non-GAAP net income of $852,000 or $0.07 per share in the same year-ago period (see definition of these non-GAAP measures and reconciliation to GAAP, below).</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20"/>
        <w:spacing w:after="0" w:line="277" w:lineRule="auto"/>
        <w:rPr>
          <w:sz w:val="20"/>
          <w:szCs w:val="20"/>
          <w:color w:val="auto"/>
        </w:rPr>
      </w:pPr>
      <w:r>
        <w:rPr>
          <w:rFonts w:ascii="Arial" w:cs="Arial" w:eastAsia="Arial" w:hAnsi="Arial"/>
          <w:sz w:val="18"/>
          <w:szCs w:val="18"/>
          <w:color w:val="auto"/>
        </w:rPr>
        <w:t>While the company expects to remain GAAP profitable on a quarterly basis, one-time expenses related to investments in growth initiatives could result in a loss in any given quarter.</w:t>
      </w:r>
    </w:p>
    <w:p>
      <w:pPr>
        <w:spacing w:after="0" w:line="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and cash equivalents totaled $30.5 million at June 30, 2019, as compared to $10.1 million at March 31, 2019. The increase was due to cash generated from operations and an underwritten public offering that raised net proceeds of $21.3 million. The company has continued to operate debt-free and expects to continue to generate positive cash flow from operations on a quarterly basis for the balance of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Q2, we achieved record top and bottom-line results, along with strong gross margin expansion versus the year-ago quarter,” said OptimizeRx CEO, William Febbo. “In fact, it was our ninth straight quarter of revenue growth.</w:t>
      </w:r>
    </w:p>
    <w:p>
      <w:pPr>
        <w:spacing w:after="0" w:line="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performance was driven by several factors, including greater client access and broader provider reach, with this driven by solid technology and strong operational performance. While our revenue is at an all-time high and we are now connected to many manufacturers, our penetration of this market is still at the early stages in many respects.</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estimate our addressable market opportunity with our traditional network is about $700 million, assuming we had all our all channel partners enabled across all of our solutions. However, since the beginning of the year, we have substantially expanded our total addressable market by adding patient adherence to our solution set. So, we are now able to go after a much larger HCP messaging market estimated at more than $2.4 billion. This focus on adherence also aligns with our passion for helping healthcare providers create better outcomes for their patients.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more effectively support greater adherence and deliver financial solutions, we are in the process of integrating our core set of digital solutions into a single platform and adding additional capabilities. We anticipate this new platform to be launched within the next couple of weeks and this will set the stage for continued growth in 2020 and beyond.</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remainder of the year, we'll remain focused on generating revenue growth from our core solutions, expanding our network in the hospital market, and seeking solid M&amp;A and partnership opportunities to drive revenue. We expect continued adoption of our health platform across our entire client base, and for this to drive another year of growth, strong margins and profitability.”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August 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1609655</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54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 replay of the call will be available after 7:30 p.m. Eastern time on the same day through August 28, 2019, as well as available for replay via the Investors section of the OptimizeRx website at </w:t>
      </w:r>
      <w:r>
        <w:rPr>
          <w:rFonts w:ascii="Arial" w:cs="Arial" w:eastAsia="Arial" w:hAnsi="Arial"/>
          <w:sz w:val="18"/>
          <w:szCs w:val="18"/>
          <w:u w:val="single" w:color="auto"/>
          <w:color w:val="auto"/>
        </w:rPr>
        <w:t>investors.optimizerx.com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1609655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This earnings release includes a presentation of non-GAAP net income (loss) and non-GAAP earnings per share or non-GAAP EPS, both of which are non-GAAP financial measures. The company defines non-GAAP net income (loss) as GAAP net income (loss) with an adjustment to add back depreciation, amortization and stock-based compensation expense.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consider these non-GAAP measures to be substitutes for or superior to the information provided by its GAAP financial results.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at the end of this press release provides a reconciliation of non-GAAP net income (loss) and non-GAAP EPS for the three and six-month periods ended June 30, 2018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December 31,</w:t>
            </w:r>
          </w:p>
        </w:tc>
      </w:tr>
      <w:tr>
        <w:trPr>
          <w:trHeight w:val="237"/>
        </w:trPr>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6"/>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30,536,420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8,914,034</w:t>
            </w: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7,424,499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6,457,841</w:t>
            </w:r>
          </w:p>
        </w:tc>
        <w:tc>
          <w:tcPr>
            <w:tcW w:w="80" w:type="dxa"/>
            <w:vAlign w:val="bottom"/>
          </w:tcPr>
          <w:p>
            <w:pPr>
              <w:spacing w:after="0"/>
              <w:rPr>
                <w:sz w:val="18"/>
                <w:szCs w:val="18"/>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627,573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360,146</w:t>
            </w:r>
          </w:p>
        </w:tc>
        <w:tc>
          <w:tcPr>
            <w:tcW w:w="80" w:type="dxa"/>
            <w:vAlign w:val="bottom"/>
            <w:shd w:val="clear" w:color="auto" w:fill="CCEEFF"/>
          </w:tcPr>
          <w:p>
            <w:pPr>
              <w:spacing w:after="0"/>
              <w:rPr>
                <w:sz w:val="21"/>
                <w:szCs w:val="2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38,588,492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15,732,021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52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3,678,513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3,678,513</w:t>
            </w: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2,658,765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2,766,944</w:t>
            </w: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3,761,792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2,492,123</w:t>
            </w: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616,988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deposits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170,256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235,647</w:t>
            </w:r>
          </w:p>
        </w:tc>
        <w:tc>
          <w:tcPr>
            <w:tcW w:w="80" w:type="dxa"/>
            <w:vAlign w:val="bottom"/>
            <w:shd w:val="clear" w:color="auto" w:fill="CCEEFF"/>
          </w:tcPr>
          <w:p>
            <w:pPr>
              <w:spacing w:after="0"/>
              <w:rPr>
                <w:sz w:val="21"/>
                <w:szCs w:val="21"/>
                <w:color w:val="auto"/>
              </w:rPr>
            </w:pPr>
          </w:p>
        </w:tc>
      </w:tr>
      <w:tr>
        <w:trPr>
          <w:trHeight w:val="210"/>
        </w:trPr>
        <w:tc>
          <w:tcPr>
            <w:tcW w:w="8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10,886,314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9,173,227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49,637,104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25,054,578</w:t>
            </w:r>
          </w:p>
        </w:tc>
        <w:tc>
          <w:tcPr>
            <w:tcW w:w="80" w:type="dxa"/>
            <w:vAlign w:val="bottom"/>
            <w:shd w:val="clear" w:color="auto" w:fill="CCEEFF"/>
          </w:tcPr>
          <w:p>
            <w:pPr>
              <w:spacing w:after="0"/>
              <w:rPr>
                <w:sz w:val="21"/>
                <w:szCs w:val="21"/>
                <w:color w:val="auto"/>
              </w:rPr>
            </w:pPr>
          </w:p>
        </w:tc>
      </w:tr>
      <w:tr>
        <w:trPr>
          <w:trHeight w:val="21"/>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411,010</w:t>
            </w: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840,843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1,300,882</w:t>
            </w: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1,964,440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1,908,616</w:t>
            </w: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111,968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769,391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610,625</w:t>
            </w:r>
          </w:p>
        </w:tc>
        <w:tc>
          <w:tcPr>
            <w:tcW w:w="80" w:type="dxa"/>
            <w:vAlign w:val="bottom"/>
          </w:tcPr>
          <w:p>
            <w:pPr>
              <w:spacing w:after="0"/>
              <w:rPr>
                <w:sz w:val="20"/>
                <w:szCs w:val="20"/>
                <w:color w:val="auto"/>
              </w:rPr>
            </w:pPr>
          </w:p>
        </w:tc>
      </w:tr>
      <w:tr>
        <w:trPr>
          <w:trHeight w:val="236"/>
        </w:trPr>
        <w:tc>
          <w:tcPr>
            <w:tcW w:w="8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4,231,133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52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52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1,546,000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2,365,000</w:t>
            </w:r>
          </w:p>
        </w:tc>
        <w:tc>
          <w:tcPr>
            <w:tcW w:w="80" w:type="dxa"/>
            <w:vAlign w:val="bottom"/>
          </w:tcPr>
          <w:p>
            <w:pPr>
              <w:spacing w:after="0"/>
              <w:rPr>
                <w:sz w:val="20"/>
                <w:szCs w:val="20"/>
                <w:color w:val="auto"/>
              </w:rPr>
            </w:pPr>
          </w:p>
        </w:tc>
      </w:tr>
      <w:tr>
        <w:trPr>
          <w:trHeight w:val="236"/>
        </w:trPr>
        <w:tc>
          <w:tcPr>
            <w:tcW w:w="8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2,054,904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52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7,727,341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6,596,133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5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Preferred stock, $0.001 par value, 10,000,000 shares authorized, no issued and outstanding at June 30, 2019 or</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852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500,000,000 shares authorized, 14,116,739 and 12,038,618 shares issued and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outstanding at June 30, 2019 and December 31, 2018, respectively</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12,039</w:t>
            </w:r>
          </w:p>
        </w:tc>
        <w:tc>
          <w:tcPr>
            <w:tcW w:w="80" w:type="dxa"/>
            <w:vAlign w:val="bottom"/>
          </w:tcPr>
          <w:p>
            <w:pPr>
              <w:spacing w:after="0"/>
              <w:rPr>
                <w:sz w:val="20"/>
                <w:szCs w:val="20"/>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71,764,534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48,725,211</w:t>
            </w:r>
          </w:p>
        </w:tc>
      </w:tr>
      <w:tr>
        <w:trPr>
          <w:trHeight w:val="237"/>
        </w:trPr>
        <w:tc>
          <w:tcPr>
            <w:tcW w:w="85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(29,868,888)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(30,278,805)</w:t>
            </w:r>
          </w:p>
        </w:tc>
      </w:tr>
      <w:tr>
        <w:trPr>
          <w:trHeight w:val="236"/>
        </w:trPr>
        <w:tc>
          <w:tcPr>
            <w:tcW w:w="8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41,909,763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18,458,445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5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49,637,104</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25,054,578</w:t>
            </w:r>
          </w:p>
        </w:tc>
        <w:tc>
          <w:tcPr>
            <w:tcW w:w="80" w:type="dxa"/>
            <w:vAlign w:val="bottom"/>
          </w:tcPr>
          <w:p>
            <w:pPr>
              <w:spacing w:after="0"/>
              <w:rPr>
                <w:sz w:val="20"/>
                <w:szCs w:val="20"/>
                <w:color w:val="auto"/>
              </w:rPr>
            </w:pPr>
          </w:p>
        </w:tc>
      </w:tr>
      <w:tr>
        <w:trPr>
          <w:trHeight w:val="21"/>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7"/>
          </w:tcPr>
          <w:p>
            <w:pPr>
              <w:ind w:left="100"/>
              <w:spacing w:after="0"/>
              <w:rPr>
                <w:sz w:val="20"/>
                <w:szCs w:val="20"/>
                <w:color w:val="auto"/>
              </w:rPr>
            </w:pPr>
            <w:r>
              <w:rPr>
                <w:rFonts w:ascii="Arial" w:cs="Arial" w:eastAsia="Arial" w:hAnsi="Arial"/>
                <w:sz w:val="18"/>
                <w:szCs w:val="18"/>
                <w:color w:val="auto"/>
              </w:rPr>
              <w:t>For the Three Months Ended</w:t>
            </w:r>
          </w:p>
        </w:tc>
        <w:tc>
          <w:tcPr>
            <w:tcW w:w="220" w:type="dxa"/>
            <w:vAlign w:val="bottom"/>
          </w:tcPr>
          <w:p>
            <w:pPr>
              <w:spacing w:after="0"/>
              <w:rPr>
                <w:sz w:val="18"/>
                <w:szCs w:val="18"/>
                <w:color w:val="auto"/>
              </w:rPr>
            </w:pPr>
          </w:p>
        </w:tc>
        <w:tc>
          <w:tcPr>
            <w:tcW w:w="2380" w:type="dxa"/>
            <w:vAlign w:val="bottom"/>
            <w:gridSpan w:val="6"/>
          </w:tcPr>
          <w:p>
            <w:pPr>
              <w:ind w:left="12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7,006,291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12,215,725</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9,211,710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REVENUES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2,687,143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2,236,751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4,270,623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4,319,148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2,862,723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3,839,105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2,589,126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7,332,894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INCOME FROM OPERATIONS</w:t>
            </w:r>
          </w:p>
        </w:tc>
        <w:tc>
          <w:tcPr>
            <w:tcW w:w="9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480,043</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273,597</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612,208</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82,401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(107,000)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(73,426)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(199,062)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406,617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280,509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413,146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406,617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413,146</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SHARES OUTSTANDING</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12,743,379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10,979,086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12,412,442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10,373,326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13,806,761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11,949,593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13,467,562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11,517,604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Six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413,146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425,873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938,399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Stock issued for services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241,077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Changes in:</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(966,658)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(2,079,823)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(202,036)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Revenue share payable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55,824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158,766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195,966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Purchase of equipment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(47,739)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(1,047,739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(69,244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 w:lineRule="exact"/>
        <w:rPr>
          <w:sz w:val="20"/>
          <w:szCs w:val="20"/>
          <w:color w:val="auto"/>
        </w:rPr>
      </w:pPr>
    </w:p>
    <w:p>
      <w:pPr>
        <w:ind w:left="180" w:right="3100"/>
        <w:spacing w:after="0" w:line="273" w:lineRule="auto"/>
        <w:rPr>
          <w:sz w:val="20"/>
          <w:szCs w:val="20"/>
          <w:color w:val="auto"/>
        </w:rPr>
      </w:pPr>
      <w:r>
        <w:rPr>
          <w:rFonts w:ascii="Arial" w:cs="Arial" w:eastAsia="Arial" w:hAnsi="Arial"/>
          <w:sz w:val="17"/>
          <w:szCs w:val="17"/>
          <w:color w:val="auto"/>
        </w:rPr>
        <w:t>Proceeds from issuance of common stock, net of commission costs Expenses related to issuance cost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right="3260"/>
        <w:spacing w:after="0" w:line="281" w:lineRule="auto"/>
        <w:rPr>
          <w:sz w:val="20"/>
          <w:szCs w:val="20"/>
          <w:color w:val="auto"/>
        </w:rPr>
      </w:pPr>
      <w:r>
        <w:rPr>
          <w:rFonts w:ascii="Arial" w:cs="Arial" w:eastAsia="Arial" w:hAnsi="Arial"/>
          <w:sz w:val="17"/>
          <w:szCs w:val="17"/>
          <w:color w:val="auto"/>
        </w:rPr>
        <w:t>NET INCREASE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7"/>
          <w:szCs w:val="17"/>
          <w:color w:val="auto"/>
        </w:rPr>
        <w:t>22,163,636</w:t>
      </w:r>
      <w:r>
        <w:rPr>
          <w:sz w:val="20"/>
          <w:szCs w:val="20"/>
          <w:color w:val="auto"/>
        </w:rPr>
        <w:tab/>
      </w:r>
      <w:r>
        <w:rPr>
          <w:rFonts w:ascii="Arial" w:cs="Arial" w:eastAsia="Arial" w:hAnsi="Arial"/>
          <w:sz w:val="17"/>
          <w:szCs w:val="17"/>
          <w:color w:val="auto"/>
        </w:rPr>
        <w:t>9,004,920</w:t>
      </w:r>
    </w:p>
    <w:p>
      <w:pPr>
        <w:spacing w:after="0" w:line="35"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(301,711)</w:t>
      </w:r>
      <w:r>
        <w:rPr>
          <w:sz w:val="20"/>
          <w:szCs w:val="20"/>
          <w:color w:val="auto"/>
        </w:rPr>
        <w:tab/>
      </w:r>
      <w:r>
        <w:rPr>
          <w:rFonts w:ascii="Arial" w:cs="Arial" w:eastAsia="Arial" w:hAnsi="Arial"/>
          <w:sz w:val="16"/>
          <w:szCs w:val="16"/>
          <w:color w:val="auto"/>
        </w:rPr>
        <w:t>(835,526)</w:t>
      </w:r>
    </w:p>
    <w:p>
      <w:pPr>
        <w:spacing w:after="0" w:line="35"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7"/>
          <w:szCs w:val="17"/>
          <w:color w:val="auto"/>
        </w:rPr>
        <w:t>21,861,925</w:t>
      </w:r>
      <w:r>
        <w:rPr>
          <w:sz w:val="20"/>
          <w:szCs w:val="20"/>
          <w:color w:val="auto"/>
        </w:rPr>
        <w:tab/>
      </w:r>
      <w:r>
        <w:rPr>
          <w:rFonts w:ascii="Arial" w:cs="Arial" w:eastAsia="Arial" w:hAnsi="Arial"/>
          <w:sz w:val="17"/>
          <w:szCs w:val="17"/>
          <w:color w:val="auto"/>
        </w:rPr>
        <w:t>8,169,394</w:t>
      </w:r>
    </w:p>
    <w:p>
      <w:pPr>
        <w:spacing w:after="0" w:line="48" w:lineRule="exact"/>
        <w:rPr>
          <w:sz w:val="20"/>
          <w:szCs w:val="20"/>
          <w:color w:val="auto"/>
        </w:rPr>
      </w:pPr>
    </w:p>
    <w:p>
      <w:pPr>
        <w:ind w:left="340"/>
        <w:spacing w:after="0"/>
        <w:tabs>
          <w:tab w:leader="none" w:pos="1760" w:val="left"/>
        </w:tabs>
        <w:rPr>
          <w:sz w:val="20"/>
          <w:szCs w:val="20"/>
          <w:color w:val="auto"/>
        </w:rPr>
      </w:pPr>
      <w:r>
        <w:rPr>
          <w:rFonts w:ascii="Arial" w:cs="Arial" w:eastAsia="Arial" w:hAnsi="Arial"/>
          <w:sz w:val="17"/>
          <w:szCs w:val="17"/>
          <w:color w:val="auto"/>
        </w:rPr>
        <w:t>21,622,386</w:t>
      </w:r>
      <w:r>
        <w:rPr>
          <w:sz w:val="20"/>
          <w:szCs w:val="20"/>
          <w:color w:val="auto"/>
        </w:rPr>
        <w:tab/>
      </w:r>
      <w:r>
        <w:rPr>
          <w:rFonts w:ascii="Arial" w:cs="Arial" w:eastAsia="Arial" w:hAnsi="Arial"/>
          <w:sz w:val="17"/>
          <w:szCs w:val="17"/>
          <w:color w:val="auto"/>
        </w:rPr>
        <w:t>6,881,291</w:t>
      </w:r>
    </w:p>
    <w:p>
      <w:pPr>
        <w:spacing w:after="0" w:line="35"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8,914,034</w:t>
      </w:r>
      <w:r>
        <w:rPr>
          <w:sz w:val="20"/>
          <w:szCs w:val="20"/>
          <w:color w:val="auto"/>
        </w:rPr>
        <w:tab/>
      </w:r>
      <w:r>
        <w:rPr>
          <w:rFonts w:ascii="Arial" w:cs="Arial" w:eastAsia="Arial" w:hAnsi="Arial"/>
          <w:sz w:val="17"/>
          <w:szCs w:val="17"/>
          <w:color w:val="auto"/>
        </w:rPr>
        <w:t>5,122,573</w:t>
      </w:r>
    </w:p>
    <w:p>
      <w:pPr>
        <w:spacing w:after="0" w:line="74" w:lineRule="exact"/>
        <w:rPr>
          <w:sz w:val="20"/>
          <w:szCs w:val="20"/>
          <w:color w:val="auto"/>
        </w:rPr>
      </w:pPr>
    </w:p>
    <w:p>
      <w:pPr>
        <w:spacing w:after="0"/>
        <w:tabs>
          <w:tab w:leader="none" w:pos="320" w:val="left"/>
          <w:tab w:leader="none" w:pos="1340" w:val="left"/>
          <w:tab w:leader="none" w:pos="1660" w:val="left"/>
        </w:tabs>
        <w:rPr>
          <w:sz w:val="20"/>
          <w:szCs w:val="20"/>
          <w:color w:val="auto"/>
        </w:rPr>
      </w:pPr>
      <w:r>
        <w:rPr>
          <w:rFonts w:ascii="Arial" w:cs="Arial" w:eastAsia="Arial" w:hAnsi="Arial"/>
          <w:sz w:val="18"/>
          <w:szCs w:val="18"/>
          <w:color w:val="auto"/>
        </w:rPr>
        <w:t>$</w:t>
        <w:tab/>
        <w:t>30,536,420</w:t>
        <w:tab/>
        <w:t>$</w:t>
      </w:r>
      <w:r>
        <w:rPr>
          <w:sz w:val="20"/>
          <w:szCs w:val="20"/>
          <w:color w:val="auto"/>
        </w:rPr>
        <w:tab/>
      </w:r>
      <w:r>
        <w:rPr>
          <w:rFonts w:ascii="Arial" w:cs="Arial" w:eastAsia="Arial" w:hAnsi="Arial"/>
          <w:sz w:val="16"/>
          <w:szCs w:val="16"/>
          <w:color w:val="auto"/>
        </w:rPr>
        <w:t>12,003,864</w:t>
      </w:r>
    </w:p>
    <w:p>
      <w:pPr>
        <w:spacing w:after="0" w:line="23" w:lineRule="exact"/>
        <w:rPr>
          <w:sz w:val="20"/>
          <w:szCs w:val="20"/>
          <w:color w:val="auto"/>
        </w:rPr>
      </w:pPr>
    </w:p>
    <w:p>
      <w:pPr>
        <w:sectPr>
          <w:pgSz w:w="11900" w:h="16838" w:orient="portrait"/>
          <w:cols w:equalWidth="0" w:num="2">
            <w:col w:w="8100" w:space="720"/>
            <w:col w:w="260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2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vMerge w:val="continue"/>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Intangible asset additions included in accounts payable</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2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vMerge w:val="continue"/>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Lease liabilities arising from right of use assets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672,809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ind w:left="180"/>
              <w:spacing w:after="0"/>
              <w:rPr>
                <w:sz w:val="20"/>
                <w:szCs w:val="20"/>
                <w:color w:val="auto"/>
              </w:rPr>
            </w:pPr>
            <w:r>
              <w:rPr>
                <w:rFonts w:ascii="Arial" w:cs="Arial" w:eastAsia="Arial" w:hAnsi="Arial"/>
                <w:sz w:val="18"/>
                <w:szCs w:val="18"/>
                <w:color w:val="auto"/>
              </w:rPr>
              <w:t>Non-cash issuance of shares to WPP, plc</w:t>
            </w:r>
          </w:p>
        </w:tc>
        <w:tc>
          <w:tcPr>
            <w:tcW w:w="2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7"/>
          </w:tcPr>
          <w:p>
            <w:pPr>
              <w:ind w:left="100"/>
              <w:spacing w:after="0"/>
              <w:rPr>
                <w:sz w:val="20"/>
                <w:szCs w:val="20"/>
                <w:color w:val="auto"/>
              </w:rPr>
            </w:pPr>
            <w:r>
              <w:rPr>
                <w:rFonts w:ascii="Arial" w:cs="Arial" w:eastAsia="Arial" w:hAnsi="Arial"/>
                <w:sz w:val="18"/>
                <w:szCs w:val="18"/>
                <w:color w:val="auto"/>
              </w:rPr>
              <w:t>For the three months ended</w:t>
            </w:r>
          </w:p>
        </w:tc>
        <w:tc>
          <w:tcPr>
            <w:tcW w:w="220" w:type="dxa"/>
            <w:vAlign w:val="bottom"/>
          </w:tcPr>
          <w:p>
            <w:pPr>
              <w:spacing w:after="0"/>
              <w:rPr>
                <w:sz w:val="18"/>
                <w:szCs w:val="18"/>
                <w:color w:val="auto"/>
              </w:rPr>
            </w:pPr>
          </w:p>
        </w:tc>
        <w:tc>
          <w:tcPr>
            <w:tcW w:w="2380" w:type="dxa"/>
            <w:vAlign w:val="bottom"/>
            <w:gridSpan w:val="7"/>
          </w:tcPr>
          <w:p>
            <w:pPr>
              <w:ind w:left="16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406,617</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413,146</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235,572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425,873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543,130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1,179,476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1,013,822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1,185,319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2,018,495</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1,214,098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Non-GAAP earnings per share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Borders>
              <w:bottom w:val="single" w:sz="8" w:color="CCEEFF"/>
            </w:tcBorders>
            <w:vMerge w:val="continue"/>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12,743,379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10,979,086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12,412,442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10,373,326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11,949,593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13,467,562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11,517,604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4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0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2019-12-28T07:48:17Z</dcterms:created>
  <dcterms:modified xsi:type="dcterms:W3CDTF">2019-12-28T07:48:17Z</dcterms:modified>
</cp:coreProperties>
</file>