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14C INFORMATION</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Statement Pursuant to Section 14(c)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7" w:lineRule="exact"/>
        <w:rPr>
          <w:sz w:val="24"/>
          <w:szCs w:val="24"/>
          <w:color w:val="auto"/>
        </w:rPr>
      </w:pPr>
    </w:p>
    <w:p>
      <w:pPr>
        <w:ind w:left="140" w:hanging="132"/>
        <w:spacing w:after="0"/>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Information Statement</w:t>
      </w:r>
    </w:p>
    <w:p>
      <w:pPr>
        <w:spacing w:after="0" w:line="225" w:lineRule="exact"/>
        <w:rPr>
          <w:rFonts w:ascii="Times New Roman" w:cs="Times New Roman" w:eastAsia="Times New Roman" w:hAnsi="Times New Roman"/>
          <w:sz w:val="18"/>
          <w:szCs w:val="18"/>
          <w:color w:val="auto"/>
        </w:rPr>
      </w:pPr>
    </w:p>
    <w:p>
      <w:pPr>
        <w:ind w:right="5400" w:firstLine="8"/>
        <w:spacing w:after="0" w:line="498"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for Use of the Commission Only (as permitted by Rule 14c-5(d)(2)) S Definitive Information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9"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14c-5(g)</w:t>
      </w:r>
    </w:p>
    <w:p>
      <w:pPr>
        <w:spacing w:after="0" w:line="225" w:lineRule="exact"/>
        <w:rPr>
          <w:rFonts w:ascii="Times New Roman" w:cs="Times New Roman" w:eastAsia="Times New Roman" w:hAnsi="Times New Roman"/>
          <w:sz w:val="18"/>
          <w:szCs w:val="18"/>
          <w:color w:val="auto"/>
        </w:rPr>
      </w:pPr>
    </w:p>
    <w:p>
      <w:pPr>
        <w:ind w:left="700" w:hanging="462"/>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9" w:lineRule="exact"/>
        <w:rPr>
          <w:rFonts w:ascii="Times New Roman" w:cs="Times New Roman" w:eastAsia="Times New Roman" w:hAnsi="Times New Roman"/>
          <w:sz w:val="18"/>
          <w:szCs w:val="18"/>
          <w:color w:val="auto"/>
        </w:rPr>
      </w:pPr>
    </w:p>
    <w:p>
      <w:pPr>
        <w:ind w:left="700" w:hanging="462"/>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79" w:lineRule="exact"/>
        <w:rPr>
          <w:rFonts w:ascii="Times New Roman" w:cs="Times New Roman" w:eastAsia="Times New Roman" w:hAnsi="Times New Roman"/>
          <w:sz w:val="18"/>
          <w:szCs w:val="18"/>
          <w:color w:val="auto"/>
        </w:rPr>
      </w:pPr>
    </w:p>
    <w:p>
      <w:pPr>
        <w:ind w:left="700" w:hanging="462"/>
        <w:spacing w:after="0" w:line="266" w:lineRule="auto"/>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9" w:lineRule="exact"/>
        <w:rPr>
          <w:rFonts w:ascii="Times New Roman" w:cs="Times New Roman" w:eastAsia="Times New Roman" w:hAnsi="Times New Roman"/>
          <w:sz w:val="18"/>
          <w:szCs w:val="18"/>
          <w:color w:val="auto"/>
        </w:rPr>
      </w:pPr>
    </w:p>
    <w:p>
      <w:pPr>
        <w:ind w:left="700" w:hanging="462"/>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9" w:lineRule="exact"/>
        <w:rPr>
          <w:rFonts w:ascii="Times New Roman" w:cs="Times New Roman" w:eastAsia="Times New Roman" w:hAnsi="Times New Roman"/>
          <w:sz w:val="18"/>
          <w:szCs w:val="18"/>
          <w:color w:val="auto"/>
        </w:rPr>
      </w:pPr>
    </w:p>
    <w:p>
      <w:pPr>
        <w:ind w:left="700" w:hanging="462"/>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O-11(a)(2) and identify the filing for which the offsetting fee was paid previously. Identify the previous filing by registration statement number, or the Form or Schedule and the date of its filing.</w:t>
      </w:r>
    </w:p>
    <w:p>
      <w:pPr>
        <w:spacing w:after="0" w:line="161" w:lineRule="exact"/>
        <w:rPr>
          <w:rFonts w:ascii="Times New Roman" w:cs="Times New Roman" w:eastAsia="Times New Roman" w:hAnsi="Times New Roman"/>
          <w:sz w:val="18"/>
          <w:szCs w:val="18"/>
          <w:color w:val="auto"/>
        </w:rPr>
      </w:pPr>
    </w:p>
    <w:p>
      <w:pPr>
        <w:ind w:left="2420" w:hanging="1372"/>
        <w:spacing w:after="0"/>
        <w:tabs>
          <w:tab w:leader="none" w:pos="24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2420" w:hanging="1372"/>
        <w:spacing w:after="0"/>
        <w:tabs>
          <w:tab w:leader="none" w:pos="24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79" w:lineRule="exact"/>
        <w:rPr>
          <w:rFonts w:ascii="Times New Roman" w:cs="Times New Roman" w:eastAsia="Times New Roman" w:hAnsi="Times New Roman"/>
          <w:sz w:val="18"/>
          <w:szCs w:val="18"/>
          <w:color w:val="auto"/>
        </w:rPr>
      </w:pPr>
    </w:p>
    <w:p>
      <w:pPr>
        <w:ind w:left="2420" w:hanging="1372"/>
        <w:spacing w:after="0"/>
        <w:tabs>
          <w:tab w:leader="none" w:pos="24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79" w:lineRule="exact"/>
        <w:rPr>
          <w:rFonts w:ascii="Times New Roman" w:cs="Times New Roman" w:eastAsia="Times New Roman" w:hAnsi="Times New Roman"/>
          <w:sz w:val="18"/>
          <w:szCs w:val="18"/>
          <w:color w:val="auto"/>
        </w:rPr>
      </w:pPr>
    </w:p>
    <w:p>
      <w:pPr>
        <w:ind w:left="2420" w:hanging="1372"/>
        <w:spacing w:after="0"/>
        <w:tabs>
          <w:tab w:leader="none" w:pos="24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Water Street, Suite 200, Rochester, MI 48307</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248-651-6568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14,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enclosed Information Statement is being furnished to the holders of record of shares of the common stock and preferred stock of OptimizeRx Corporation, a Nevada corporation (the “Company”), as of the close of business on the record date, June 17, 2013. The purpose of the Information Statement is to notify the Company’s shareholders that on June 14, 2013, the Company received written consents in lieu of a meeting of shareholders (the “Written Consent”) from the holders of our common and preferred stock, representing 52% of the combined voting power of the Company’s common and preferred stock. The Written Consent adopted resolutions that approved the Company’s 2013 Equity Incentive Plan (the “Plan”) and reserved 1,500,000 shares of the Company’s common stock for issuance under the Plan.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urged to read the Information Statement in its entirety for a description of the actions taken by the majority of shareholders of the Company. The resolutions will become effective twenty calendar days after this Information Statement is first mailed to the Company’s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IS NOT ASKING YOU FOR A PROXY AND YOU ARE REQUESTED NOT TO SEND A PROXY.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action is required by you. The enclosed Information Statement is being furnished to you to inform you that the foregoing actions have been approved by the holders of at least a majority of the outstanding shares of all voting stock of the Company. Because shareholders holding at least a majority of the voting rights of the Company’s outstanding stock have voted in favor of the foregoing actions, and have sufficient voting power to approve such actions through their ownership of common stock and preferred stock, no other shareholder consents will be solicited in connection with the transactions described in this Information Statement. The Board is not soliciting your proxy in connection with the adoption of these resolutions, and proxies are not requested from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Statement is being mailed on or about June 21, 2013 to shareholders of record on June 14,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Shad Stastney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Shad Stastney</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Water Street, Suite 200, Rochester, MI 48307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248-651-6568</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14(C)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RULE 14C-2 THEREUNDER</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7" w:lineRule="exact"/>
        <w:rPr>
          <w:sz w:val="20"/>
          <w:szCs w:val="20"/>
          <w:color w:val="auto"/>
        </w:rPr>
      </w:pPr>
    </w:p>
    <w:p>
      <w:pPr>
        <w:jc w:val="center"/>
        <w:ind w:left="260" w:right="440"/>
        <w:spacing w:after="0" w:line="282" w:lineRule="auto"/>
        <w:rPr>
          <w:sz w:val="20"/>
          <w:szCs w:val="20"/>
          <w:color w:val="auto"/>
        </w:rPr>
      </w:pPr>
      <w:r>
        <w:rPr>
          <w:rFonts w:ascii="Times New Roman" w:cs="Times New Roman" w:eastAsia="Times New Roman" w:hAnsi="Times New Roman"/>
          <w:sz w:val="18"/>
          <w:szCs w:val="18"/>
          <w:color w:val="auto"/>
        </w:rPr>
        <w:t>NO VOTE OR OTHER ACTION OF THE COMPANY’S SHAREHOLDERS IS REQUIRED IN CONNECTION WITH THIS INFORMATION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 IS NOT ASKING YOU FOR A PROXY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ARE REQUESTED NOT TO SEND A PROXY.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Information Statement is being furnished to the holders of record of shares of the common stock and preferred stock of OptimizeRx Corporation, a Nevada corporation (the “Company”), as of the close of business on the record date, June 17, 2013. The purpose of the Information Statement is to notify the Company’s shareholders that on June 14, 2013, the Company received written consents in lieu of a meeting of shareholders (the “Written Consent”) from the holders of the Company’s common and preferred stock, representing 52% of the combined voting power of the Company’s common and preferred stock. The Written Consent adopted resolutions that approved the Company’s 2013 Equity Incentive Plan (the “Plan”) and reserved 1,500,000 shares of the Company’s common stock for issuance under the Plan.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urged to read the Information Statement in its entirety for a description of the actions taken by the majority of shareholders of the Company. The resolutions will become effective twenty calendar days after this Information Statement is first mailed to the Company’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shareholders holding at least a majority of the voting rights of our outstanding common stock and preferred stock have voted in favor of the foregoing actions, and have sufficient voting power to approve such actions through their ownership of common stock and preferred stock, no other shareholder consents will be solicited in connection with the transactions described in this Information Statement. The Board is not soliciting proxies in connection with the adoption of these resolutions, and proxies are not requested from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Company’s bylaws, the Board of Directors has fixed the close of business on June 17, 2013 as the record date for determining the shareholders entitled to notice of the above noted actions. This Information Statement is being mailed on or about June 21, 2013 to shareholders of record on the record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AND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pay all costs associated with the distribution of this Information Statement, including the costs of printing and mailing. In addition, the Company will only deliver one Information Statement to multiple security holders sharing an address, unless the Company has received contrary instructions from one or more of the security holders. Also, the Company will promptly deliver a separate copy of this Information Statement and future shareholder communication documents to any security holder at a shared address to which a single copy of this Information Statement was delivered, or deliver a single copy of this Information Statement and future shareholder communication documents to any security holder or holders sharing an address to which multiple copies are now delivered, upon written request to the Company at its address noted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also address future requests regarding delivery of information statements by contacting the Company at the address noted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VOTE REQUIRED; MANNER OF APPROVAL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Approval of the Plan requires the affirmative vote of the holders of a majority of the voting power of the Company. Because shareholders holding at least a majority of the voting rights of the Company’s outstanding common and preferred stock have voted in favor of the foregoing actions, and have sufficient voting power to approve such actions through their ownership of common and preferred stock, no other shareholder consents will be solicited in connection with the transactions described in this Information Statement. The Board is not soliciting proxies in connection with the adoption of these proposals, and proxies are not requested from shareholders.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 pertaining to corporate actions of the Company, the Nevada Revised Statutes, provides in substance that shareholders may take action without a meeting of the shareholders and without prior notice if a consent or consents in writing, setting forth the action so taken, is signed by the holders of the outstanding voting shares holding not less than the minimum number of votes that would be necessary to approve such action at a shareholders meeting. The actions take in this Information Statement require the written consent from holders of record of a majority of the outstanding shares of voting stock of the Company.</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common stock, Series A Convertible Preferred Stock and Series B Convertible Preferred Stock constitute the outstanding classes of the Company’s voting securities. On June 17, 2013, the record date for determining the identity of stockholders who are entitled to receive this Information Statement, the Company had 14,232,496 shares of common stock issued and outstanding, 35 shares of Series A Convertible Preferred Stock issued and outstanding and 30 shares of Series B Convertible Preferred Stock issued and outstanding. Each share of Series A Convertible Preferred Stock had 100,000 votes and each share of Series B Convertible Preferred Stock had 66,667 votes. Thus, the voting power of all of the Series A Convertible Preferred Stock was 3,500,000 votes and the voting power of all of the Series B Convertible Preferred Stock was 2,000,010 votes. The holders of the Series A Convertible Preferred Stock, the Series B Convertible Preferred Stock and the common stock vote as a single class on all matters submitted to stockholders, subject to the common shares having 1 vote per share, the Series A Convertible Preferred Stock having 100,000 votes per share and the Series B Convertible Preferred Stock having 66,667 votes per share. Thus, the combined voting power of all of the Series A Convertible Preferred Stock, Series B Convertible Preferred Stock and common stock was 19,732,506 votes. Accordingly, the vote or written consent of the shareholders holding at least 9,866,254 shares of the combined outstanding common stock, Series A Convertible Preferred Stock and Series B Convertible Preferred Stock is necessary to approve the Plan.</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14, 2013, the Company received the Written Consent from the holders of 4,719,590 shares of the issued and outstanding shares of common stock, 35 shares of the issued and outstanding Series A Convertible Preferred Stock and 30 shares of the issued and outstanding Series B Convertible Preferred Stock, representing 52% of the issued and outstanding shares of common stock, Series A Convertible Preferred Stock and Series B Convertible Preferred Stock. The Written Consent adopted resolutions that approved the Plan and reserved 1,500,000 shares of the Company’s common stock for issuance under the Plan.</w:t>
      </w:r>
    </w:p>
    <w:p>
      <w:pPr>
        <w:spacing w:after="0" w:line="18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Under Rule 14c-2 promulgated under the Securities Exchange Act of 1934, as amended (the “Act”), the corporate actions identified in this Information Statement may not be implemented until twenty (20) calendar days after this Information Statement is first mailed to the Company’s shareholders. As such, the adoption of the Plan is anticipated to be on or about July 11, 2013, twenty (20) days after the mailing of this Information Statement.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PLAN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sole corporate action is to adopt the Plan. The purpose of the Plan is attract and retain the best available personnel for positions of substantial responsibility with the Company, to provide additional incentive to employees, directors and consultants of the Company, and to promote the success of the Company’s business. Under the Plan the Company may issue up to an aggregate total of 1,500,000 shares of the Company’s common stock. As of June 14, 2013, the Company has not issued any shares of common stock under the Plan. A copy of the Plan is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 following summary of the material provisions of the Plan is qualified in its entirety by reference to the complete text of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PARTICIPANTS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 employee or consultant of the Company and any affiliate of the Company is eligible to be designated a participant in the Plan. However, incentive stock options (“ISOs”) may be granted only to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will be administered by the Company’s Board of Directors, or a committee appointed by the Board of Directors. The Board may determine persons eligible for grants and the timing, type, amount, fair market value and other provisions of such grants.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will have authority, subject to the express provisions of the Plan, to construe the Plan and the award agreements granted pursuant to the Plan, to prescribe, amend and rescind rules and regulations relating to the Plan, and to make all other determinations in the judgment of the Board necessary or desirable for the administration of the Plan. The Board may correct any defect or supply any omission or reconcile any inconsistency in the Plan or in any option agreement in the manner and to the extent it shall deem expedient to promote the best interests of the Company. The Board may suspend or terminate the Plan at any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UNDER THE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provides for the granting of (i) ISOs, which qualify as incentive stock options under the Internal Revenue Code (the “Code”), (ii) non-qualified options which do not qualify as incentive stock options under the Code (“NQSO”), restricted stock, restricted stock units, performance shares, performance units, or other incentive payable in shares of common stock as may be designated by the Board from time to time. Any options that expire prior to exercise or shares of stock which are forfeited will become available for new grants.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ISOs may not be granted at a purchase price less than the fair market value of the common stock on the date of grant (or, for an option granted to a person holding more than 10% of the Company’s voting stock, at less than 110% of fair market value). No option granted under the Plan will be exercisable after 10 years (five years in the case of a 10% shareholder) or such shorter period as specified in the option agreement. An option will not be transferable except by will or by the laws of descent and distribution and is exercisable during the lifetime of the option holder only by the option 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option holder’s service with the Company terminates (other than for death or disability) the option holder may exercise his or her option to the extent vested for three months. If an option holder’s service with the Company terminates due to death or disability, the option holder may exercise his or her option to the extent vested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restricted stock or restricted stock unit awards granted under the Plan may be subject to forfeiture in accordance with a vesting schedule determined by the Board, and, to the extent not vested may be forfeited to the Company upon the grantee’s termination of service with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the Company’s dissolution or liquidation, all outstanding awards under the Plan will terminate. The Board will make proportionate adjustments in the case of a stock dividend, stock split, spin-off, combination or exchange of shares, recapitalization, merger, consolidation, or distribution to stockholders other than a normal cash dividend. In the event of a change in control, 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will terminate on June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CONSEQUENCES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generally summarizes the United States federal income tax consequences that generally will arise with respect to option awards granted under the Plan. This summary is based on the tax laws in effect as of the date of this Information Statement. Changes to these laws could alter the tax consequences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Optionees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NSOs</w:t>
      </w:r>
      <w:r>
        <w:rPr>
          <w:rFonts w:ascii="Times New Roman" w:cs="Times New Roman" w:eastAsia="Times New Roman" w:hAnsi="Times New Roman"/>
          <w:sz w:val="18"/>
          <w:szCs w:val="18"/>
          <w:color w:val="auto"/>
        </w:rPr>
        <w:t>. An optionee generally will not recognize any income for federal income tax purposes on the grant of an NSO. Upon the exercise of an NSO, an optionee generally will recognize compensation taxable as ordinary income, equal to the difference between the fair market value of the Company’s common stock on the date of exercise and the exercise price. This compensation is subject to withholding taxes. An optionee will recognize gain or loss on the sale or exchange of stock acquired pursuant to an exercise of an NSO. Such gain or loss will be equal to the difference between the optionee’s adjusted basis in the stock, which will include the exercise price and any ordinary income recognized on exercise of the option, and the fair market value of the stock on the date of sale or exchange. The gain may be subject to preferential tax treatment if the stock has been held for more than one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An optionee will not recognize any income for federal income tax purposes on the grant of an ISO. Upon the exercise of an ISO, tax is deferred until the underlying stock is sold (though the spread at exercise may be a tax preference for purposes of the Alternative Minimum Tax). When sold, the ISO is taxed at the capital gains rate on the full amount of appreciation for the sales proceeds over the option cost, provided the employee has satisfied the holding period prescribed for ISOs—the longer of two (2) years from the date of grant or one (1) year from the date of exercise. If the ISO stock is sold within the holding period, the option is taxed as an NSO.</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a participant will not recognize income upon the grant of restricted stock. When the shares of restricted stock vest, the participant will recognize ordinary income equal to the fair market value of the stock and also will be subject to income and employment tax withholding. We will receive a tax compensation deduction equal to the amount of ordinary income recognized by the participant. A participant who receives a restricted stock award may elect to accelerate his or her tax obligation by submitting a Code Section 83(b) election within 30 days after the grant date, pursuant to which the participant will be taxed on the fair market value of the restricted stock as of the grant date, and we will receive a tax compensation deduction as of the grant date equal to the ordinary income recognized by the participant. Any gain or loss upon a subsequent disposition of the shares will be long-term capital gain or loss if the shares are held for more than one year and otherwise will be short-term capital gain or loss. If, after making the Section 83(b) election, the shares are forfeited, the participant will not be entitled to a loss deduction.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Company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exception of ISO awards, the Company generally is entitled to a business expense deduction at the time and in the amount that the optionee recognizes ordinary income in connection with the grant or exercise of the award. As to grants of ISOs, the Company generally receives no deduction associated with such grant except when the recipient has a disqualifying disposition. Upon a disqualifying disposition, the option loses its ISO status, converts to a NSO, and is taxed accordingly. As a result of Section 162(m) of the Code, the Company's deduction for certain awards under the Plan may be limited to the extent that the chief executive officer or other executive officer whose compensation is required to be reported in the summary compensation table receives compensation in excess of $1 million a year (other than performance-based compensation that otherwise meets the requirements of Section 162(m) of the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June 14, 2013,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ectPr>
          <w:pgSz w:w="11900" w:h="16838" w:orient="portrait"/>
          <w:cols w:equalWidth="0" w:num="1">
            <w:col w:w="11420"/>
          </w:cols>
          <w:pgMar w:left="240" w:top="833" w:right="239" w:bottom="1440" w:gutter="0" w:footer="0" w:header="0"/>
        </w:sectPr>
      </w:pPr>
    </w:p>
    <w:p>
      <w:pPr>
        <w:spacing w:after="0" w:line="66" w:lineRule="exact"/>
        <w:rPr>
          <w:sz w:val="20"/>
          <w:szCs w:val="20"/>
          <w:color w:val="auto"/>
        </w:rPr>
      </w:pPr>
    </w:p>
    <w:tbl>
      <w:tblPr>
        <w:tblLayout w:type="fixed"/>
        <w:tblInd w:w="1720" w:type="dxa"/>
        <w:tblCellMar>
          <w:top w:w="0" w:type="dxa"/>
          <w:left w:w="0" w:type="dxa"/>
          <w:bottom w:w="0" w:type="dxa"/>
          <w:right w:w="0" w:type="dxa"/>
        </w:tblCellMar>
      </w:tblPr>
      <w:tr>
        <w:trPr>
          <w:trHeight w:val="34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 xml:space="preserve">Name and address of beneficial owner </w:t>
            </w:r>
            <w:r>
              <w:rPr>
                <w:rFonts w:ascii="Times New Roman" w:cs="Times New Roman" w:eastAsia="Times New Roman" w:hAnsi="Times New Roman"/>
                <w:sz w:val="30"/>
                <w:szCs w:val="30"/>
                <w:b w:val="1"/>
                <w:bCs w:val="1"/>
                <w:color w:val="auto"/>
                <w:w w:val="97"/>
                <w:vertAlign w:val="superscript"/>
              </w:rPr>
              <w:t>(1)</w:t>
            </w:r>
          </w:p>
        </w:tc>
      </w:t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3220" w:type="dxa"/>
            <w:vAlign w:val="bottom"/>
          </w:tcPr>
          <w:p>
            <w:pPr>
              <w:spacing w:after="0"/>
              <w:rPr>
                <w:sz w:val="20"/>
                <w:szCs w:val="20"/>
                <w:color w:val="auto"/>
              </w:rPr>
            </w:pPr>
          </w:p>
        </w:tc>
      </w:tr>
    </w:tbl>
    <w:p>
      <w:pPr>
        <w:ind w:left="1720"/>
        <w:spacing w:after="0" w:line="182" w:lineRule="auto"/>
        <w:rPr>
          <w:sz w:val="20"/>
          <w:szCs w:val="20"/>
          <w:color w:val="auto"/>
        </w:rPr>
      </w:pPr>
      <w:r>
        <w:rPr>
          <w:rFonts w:ascii="Times New Roman" w:cs="Times New Roman" w:eastAsia="Times New Roman" w:hAnsi="Times New Roman"/>
          <w:sz w:val="30"/>
          <w:szCs w:val="30"/>
          <w:color w:val="auto"/>
          <w:vertAlign w:val="superscript"/>
        </w:rPr>
        <w:t>Common</w:t>
      </w:r>
      <w:r>
        <w:rPr>
          <w:rFonts w:ascii="Times New Roman" w:cs="Times New Roman" w:eastAsia="Times New Roman" w:hAnsi="Times New Roman"/>
          <w:sz w:val="16"/>
          <w:szCs w:val="16"/>
          <w:color w:val="auto"/>
        </w:rPr>
        <w:t xml:space="preserve"> David Lester</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-162560</wp:posOffset>
            </wp:positionV>
            <wp:extent cx="506857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ind w:left="1720"/>
        <w:spacing w:after="0" w:line="185" w:lineRule="auto"/>
        <w:rPr>
          <w:sz w:val="20"/>
          <w:szCs w:val="20"/>
          <w:color w:val="auto"/>
        </w:rPr>
      </w:pPr>
      <w:r>
        <w:rPr>
          <w:rFonts w:ascii="Times New Roman" w:cs="Times New Roman" w:eastAsia="Times New Roman" w:hAnsi="Times New Roman"/>
          <w:sz w:val="29"/>
          <w:szCs w:val="29"/>
          <w:color w:val="auto"/>
          <w:vertAlign w:val="superscript"/>
        </w:rPr>
        <w:t>Common</w:t>
      </w:r>
      <w:r>
        <w:rPr>
          <w:rFonts w:ascii="Times New Roman" w:cs="Times New Roman" w:eastAsia="Times New Roman" w:hAnsi="Times New Roman"/>
          <w:sz w:val="16"/>
          <w:szCs w:val="16"/>
          <w:color w:val="auto"/>
        </w:rPr>
        <w:t xml:space="preserve"> David Harrell</w:t>
      </w:r>
      <w:r>
        <w:rPr>
          <w:rFonts w:ascii="Times New Roman" w:cs="Times New Roman" w:eastAsia="Times New Roman" w:hAnsi="Times New Roman"/>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ind w:left="1720"/>
        <w:spacing w:after="0" w:line="185" w:lineRule="auto"/>
        <w:rPr>
          <w:sz w:val="20"/>
          <w:szCs w:val="20"/>
          <w:color w:val="auto"/>
        </w:rPr>
      </w:pPr>
      <w:r>
        <w:rPr>
          <w:rFonts w:ascii="Times New Roman" w:cs="Times New Roman" w:eastAsia="Times New Roman" w:hAnsi="Times New Roman"/>
          <w:sz w:val="29"/>
          <w:szCs w:val="29"/>
          <w:color w:val="auto"/>
          <w:vertAlign w:val="superscript"/>
        </w:rPr>
        <w:t>Common</w:t>
      </w:r>
      <w:r>
        <w:rPr>
          <w:rFonts w:ascii="Times New Roman" w:cs="Times New Roman" w:eastAsia="Times New Roman" w:hAnsi="Times New Roman"/>
          <w:sz w:val="16"/>
          <w:szCs w:val="16"/>
          <w:color w:val="auto"/>
        </w:rPr>
        <w:t xml:space="preserve"> Terence J. Hamilton</w:t>
      </w:r>
      <w:r>
        <w:rPr>
          <w:rFonts w:ascii="Times New Roman" w:cs="Times New Roman" w:eastAsia="Times New Roman" w:hAnsi="Times New Roman"/>
          <w:sz w:val="25"/>
          <w:szCs w:val="25"/>
          <w:color w:val="auto"/>
          <w:vertAlign w:val="superscript"/>
        </w:rPr>
        <w:t>(5)</w:t>
      </w:r>
    </w:p>
    <w:p>
      <w:pPr>
        <w:ind w:left="1720"/>
        <w:spacing w:after="0" w:line="235" w:lineRule="auto"/>
        <w:rPr>
          <w:sz w:val="20"/>
          <w:szCs w:val="20"/>
          <w:color w:val="auto"/>
        </w:rPr>
      </w:pPr>
      <w:r>
        <w:rPr>
          <w:rFonts w:ascii="Times New Roman" w:cs="Times New Roman" w:eastAsia="Times New Roman" w:hAnsi="Times New Roman"/>
          <w:sz w:val="18"/>
          <w:szCs w:val="18"/>
          <w:color w:val="auto"/>
        </w:rPr>
        <w:t>Common Shad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8570" cy="128905"/>
                    </a:xfrm>
                    <a:prstGeom prst="rect">
                      <a:avLst/>
                    </a:prstGeom>
                    <a:noFill/>
                  </pic:spPr>
                </pic:pic>
              </a:graphicData>
            </a:graphic>
          </wp:anchor>
        </w:drawing>
      </w:r>
    </w:p>
    <w:p>
      <w:pPr>
        <w:ind w:left="1720"/>
        <w:spacing w:after="0" w:line="235" w:lineRule="auto"/>
        <w:rPr>
          <w:sz w:val="20"/>
          <w:szCs w:val="20"/>
          <w:color w:val="auto"/>
        </w:rPr>
      </w:pPr>
      <w:r>
        <w:rPr>
          <w:rFonts w:ascii="Times New Roman" w:cs="Times New Roman" w:eastAsia="Times New Roman" w:hAnsi="Times New Roman"/>
          <w:sz w:val="18"/>
          <w:szCs w:val="18"/>
          <w:b w:val="1"/>
          <w:bCs w:val="1"/>
          <w:color w:val="auto"/>
        </w:rPr>
        <w:t>Total of All Directors and Executive Officers:</w:t>
      </w:r>
    </w:p>
    <w:p>
      <w:pPr>
        <w:ind w:left="1720"/>
        <w:spacing w:after="0" w:line="234" w:lineRule="auto"/>
        <w:rPr>
          <w:sz w:val="20"/>
          <w:szCs w:val="20"/>
          <w:color w:val="auto"/>
        </w:rPr>
      </w:pPr>
      <w:r>
        <w:rPr>
          <w:rFonts w:ascii="Times New Roman" w:cs="Times New Roman" w:eastAsia="Times New Roman" w:hAnsi="Times New Roman"/>
          <w:sz w:val="18"/>
          <w:szCs w:val="18"/>
          <w:b w:val="1"/>
          <w:bCs w:val="1"/>
          <w:color w:val="auto"/>
        </w:rPr>
        <w:t>More Than 5%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8570" cy="300355"/>
                    </a:xfrm>
                    <a:prstGeom prst="rect">
                      <a:avLst/>
                    </a:prstGeom>
                    <a:noFill/>
                  </pic:spPr>
                </pic:pic>
              </a:graphicData>
            </a:graphic>
          </wp:anchor>
        </w:drawing>
      </w:r>
    </w:p>
    <w:p>
      <w:pPr>
        <w:ind w:left="1720"/>
        <w:spacing w:after="0" w:line="181" w:lineRule="auto"/>
        <w:rPr>
          <w:sz w:val="20"/>
          <w:szCs w:val="20"/>
          <w:color w:val="auto"/>
        </w:rPr>
      </w:pPr>
      <w:r>
        <w:rPr>
          <w:rFonts w:ascii="Times New Roman" w:cs="Times New Roman" w:eastAsia="Times New Roman" w:hAnsi="Times New Roman"/>
          <w:sz w:val="25"/>
          <w:szCs w:val="25"/>
          <w:color w:val="auto"/>
          <w:vertAlign w:val="superscript"/>
        </w:rPr>
        <w:t>Common/</w:t>
      </w:r>
      <w:r>
        <w:rPr>
          <w:rFonts w:ascii="Times New Roman" w:cs="Times New Roman" w:eastAsia="Times New Roman" w:hAnsi="Times New Roman"/>
          <w:sz w:val="14"/>
          <w:szCs w:val="14"/>
          <w:color w:val="auto"/>
        </w:rPr>
        <w:t xml:space="preserve"> Vicis Capital Master Fund</w:t>
      </w:r>
      <w:r>
        <w:rPr>
          <w:rFonts w:ascii="Times New Roman" w:cs="Times New Roman" w:eastAsia="Times New Roman" w:hAnsi="Times New Roman"/>
          <w:sz w:val="21"/>
          <w:szCs w:val="21"/>
          <w:color w:val="auto"/>
          <w:vertAlign w:val="superscript"/>
        </w:rPr>
        <w:t>(6)</w:t>
      </w:r>
    </w:p>
    <w:p>
      <w:pPr>
        <w:ind w:left="1720"/>
        <w:spacing w:after="0"/>
        <w:rPr>
          <w:sz w:val="20"/>
          <w:szCs w:val="20"/>
          <w:color w:val="auto"/>
        </w:rPr>
      </w:pPr>
      <w:r>
        <w:rPr>
          <w:rFonts w:ascii="Times New Roman" w:cs="Times New Roman" w:eastAsia="Times New Roman" w:hAnsi="Times New Roman"/>
          <w:sz w:val="18"/>
          <w:szCs w:val="18"/>
          <w:color w:val="auto"/>
        </w:rPr>
        <w:t>Preferred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of beneficial ownership</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Percent of</w:t>
            </w:r>
          </w:p>
        </w:tc>
      </w:tr>
      <w:tr>
        <w:trPr>
          <w:trHeight w:val="243"/>
        </w:trPr>
        <w:tc>
          <w:tcPr>
            <w:tcW w:w="2580" w:type="dxa"/>
            <w:vAlign w:val="bottom"/>
          </w:tcPr>
          <w:p>
            <w:pPr>
              <w:spacing w:after="0"/>
              <w:rPr>
                <w:sz w:val="21"/>
                <w:szCs w:val="21"/>
                <w:color w:val="auto"/>
              </w:rPr>
            </w:pPr>
          </w:p>
        </w:tc>
        <w:tc>
          <w:tcPr>
            <w:tcW w:w="900" w:type="dxa"/>
            <w:vAlign w:val="bottom"/>
          </w:tcPr>
          <w:p>
            <w:pPr>
              <w:ind w:left="120"/>
              <w:spacing w:after="0" w:line="243" w:lineRule="exact"/>
              <w:rPr>
                <w:sz w:val="20"/>
                <w:szCs w:val="20"/>
                <w:color w:val="auto"/>
              </w:rPr>
            </w:pPr>
            <w:r>
              <w:rPr>
                <w:rFonts w:ascii="Times New Roman" w:cs="Times New Roman" w:eastAsia="Times New Roman" w:hAnsi="Times New Roman"/>
                <w:sz w:val="17"/>
                <w:szCs w:val="17"/>
                <w:b w:val="1"/>
                <w:bCs w:val="1"/>
                <w:color w:val="auto"/>
              </w:rPr>
              <w:t xml:space="preserve">class </w:t>
            </w:r>
            <w:r>
              <w:rPr>
                <w:rFonts w:ascii="Times New Roman" w:cs="Times New Roman" w:eastAsia="Times New Roman" w:hAnsi="Times New Roman"/>
                <w:sz w:val="28"/>
                <w:szCs w:val="28"/>
                <w:b w:val="1"/>
                <w:bCs w:val="1"/>
                <w:color w:val="auto"/>
                <w:vertAlign w:val="superscript"/>
              </w:rPr>
              <w:t>(2)</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573,000</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3,538,750</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974,500</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5,086,250</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w:t>
            </w:r>
          </w:p>
        </w:tc>
      </w:tr>
      <w:tr>
        <w:trPr>
          <w:trHeight w:val="40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16,386,350</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r>
    </w:tbl>
    <w:p>
      <w:pPr>
        <w:spacing w:after="0" w:line="408" w:lineRule="exact"/>
        <w:rPr>
          <w:sz w:val="20"/>
          <w:szCs w:val="20"/>
          <w:color w:val="auto"/>
        </w:rPr>
      </w:pPr>
    </w:p>
    <w:p>
      <w:pPr>
        <w:sectPr>
          <w:pgSz w:w="11900" w:h="16838" w:orient="portrait"/>
          <w:cols w:equalWidth="0" w:num="2">
            <w:col w:w="5600" w:space="460"/>
            <w:col w:w="5360"/>
          </w:cols>
          <w:pgMar w:left="240" w:top="833" w:right="239" w:bottom="1440" w:gutter="0" w:footer="0" w:header="0"/>
          <w:type w:val="continuous"/>
        </w:sectPr>
      </w:pPr>
    </w:p>
    <w:p>
      <w:pPr>
        <w:spacing w:after="0" w:line="32" w:lineRule="exact"/>
        <w:rPr>
          <w:sz w:val="20"/>
          <w:szCs w:val="20"/>
          <w:color w:val="auto"/>
        </w:rPr>
      </w:pPr>
    </w:p>
    <w:p>
      <w:pPr>
        <w:ind w:left="1040" w:right="80" w:hanging="1032"/>
        <w:spacing w:after="0"/>
        <w:tabs>
          <w:tab w:leader="none" w:pos="1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2" w:lineRule="exact"/>
        <w:rPr>
          <w:rFonts w:ascii="Times New Roman" w:cs="Times New Roman" w:eastAsia="Times New Roman" w:hAnsi="Times New Roman"/>
          <w:sz w:val="15"/>
          <w:szCs w:val="15"/>
          <w:color w:val="auto"/>
        </w:rPr>
      </w:pPr>
    </w:p>
    <w:p>
      <w:pPr>
        <w:ind w:left="1040" w:right="180" w:hanging="1032"/>
        <w:spacing w:after="0" w:line="234" w:lineRule="auto"/>
        <w:tabs>
          <w:tab w:leader="none" w:pos="1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percent of class is based on 19,732,506 voting shares as of June 14, 2013, comprised of 14,232,496 shares of the Company’s common stock issued and outstanding as of June 14, 2013, 35 shares of the Company’s Series A Convertible Preferred Stock issued and outstanding as of June 14, 2013, which has the power to vote 3,500,000 shares, and 30 shares of the Company’s Series B Convertible Preferred Stock issued and outstanding as of June 14, 2013, which has the power to vote 2,000,010 shares.</w:t>
      </w:r>
    </w:p>
    <w:p>
      <w:pPr>
        <w:spacing w:after="0" w:line="3" w:lineRule="exact"/>
        <w:rPr>
          <w:rFonts w:ascii="Times New Roman" w:cs="Times New Roman" w:eastAsia="Times New Roman" w:hAnsi="Times New Roman"/>
          <w:sz w:val="15"/>
          <w:szCs w:val="15"/>
          <w:color w:val="auto"/>
        </w:rPr>
      </w:pPr>
    </w:p>
    <w:p>
      <w:pPr>
        <w:ind w:left="1040" w:right="300" w:hanging="1032"/>
        <w:spacing w:after="0" w:line="234" w:lineRule="auto"/>
        <w:tabs>
          <w:tab w:leader="none" w:pos="1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18,000 shares held in his name, warrants to purchase 500,000 shares of common stock at prices ranging from of $0.35 to $2.00 per share and options to purchase 55,000 shares of common stock at $1.00 per share.</w:t>
      </w:r>
    </w:p>
    <w:p>
      <w:pPr>
        <w:spacing w:after="0" w:line="1" w:lineRule="exact"/>
        <w:rPr>
          <w:rFonts w:ascii="Times New Roman" w:cs="Times New Roman" w:eastAsia="Times New Roman" w:hAnsi="Times New Roman"/>
          <w:sz w:val="15"/>
          <w:szCs w:val="15"/>
          <w:color w:val="auto"/>
        </w:rPr>
      </w:pPr>
    </w:p>
    <w:p>
      <w:pPr>
        <w:ind w:left="1040" w:right="160" w:hanging="1032"/>
        <w:spacing w:after="0" w:line="234" w:lineRule="auto"/>
        <w:tabs>
          <w:tab w:leader="none" w:pos="1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3,136,250 shares held in his name, options to purchase 402,500 shares of common stock at prices ranging from of $1.00 to $1.81 per share.</w:t>
      </w:r>
    </w:p>
    <w:p>
      <w:pPr>
        <w:spacing w:after="0" w:line="1" w:lineRule="exact"/>
        <w:rPr>
          <w:rFonts w:ascii="Times New Roman" w:cs="Times New Roman" w:eastAsia="Times New Roman" w:hAnsi="Times New Roman"/>
          <w:sz w:val="15"/>
          <w:szCs w:val="15"/>
          <w:color w:val="auto"/>
        </w:rPr>
      </w:pPr>
    </w:p>
    <w:p>
      <w:pPr>
        <w:ind w:left="1040" w:hanging="1032"/>
        <w:spacing w:after="0"/>
        <w:tabs>
          <w:tab w:leader="none" w:pos="1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697,000 shares held in his name and options to purchase 277,500 shares of common stock at a price of $1.00 per share.</w:t>
      </w:r>
    </w:p>
    <w:p>
      <w:pPr>
        <w:spacing w:after="0" w:line="7" w:lineRule="exact"/>
        <w:rPr>
          <w:rFonts w:ascii="Times New Roman" w:cs="Times New Roman" w:eastAsia="Times New Roman" w:hAnsi="Times New Roman"/>
          <w:sz w:val="15"/>
          <w:szCs w:val="15"/>
          <w:color w:val="auto"/>
        </w:rPr>
      </w:pPr>
    </w:p>
    <w:p>
      <w:pPr>
        <w:ind w:left="1040" w:right="260" w:hanging="1032"/>
        <w:spacing w:after="0"/>
        <w:tabs>
          <w:tab w:leader="none" w:pos="1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886,340 shares of common stock held in its name, 35 shares of the Company’s Series A Convertible Preferred Stock, which has the power to vote 3,500,000 shares, 30 shares of the Company’s Series B Convertible Preferred Stock, which has the power to vote 2,000,010 shares, and warrants to purchase 10,000,000 shares of common stock at strike prices ranging from $2.00 to $3.00 per share.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other than those described in this Information Statement which have been approved or considered by the holders of a majority of the shares of the Company’s voting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INFORMATION STATEMENT AND/OR THE PLAN, PLEASE CONTACT: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248-651-6568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Shad Stastney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Shad Stastney</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Appendix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INCENTIVE PLAN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 PURPOSE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OptimizeRx Corporation 2013 Incentive Plan is to attract, retain and motivate employees, officers, directors, consultants, agents, advisors and independent contractors of the Company and its Related Companies by providing them the opportunity to acquire a proprietary interest in the Company and to align their interests and efforts to the long-term interests of the Company’s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SECTION2.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capitalized terms used in the Plan have the meanings set forth in Appendix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SECTION3. ADMINISTRATION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Administration of the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shall be administered by the Board or its Compensation Committee. The Compensation Committee shall be composed of two or more directors, each of whom is a “non-employee director” within the meaning of Rule 16b-3(b)(3) promulgated under the Exchange Act, or any successor definition adopted by the Securities and Exchange Commission. As used in this Plan, the term “Compensation Committee” shall be construed as if followed by the words “(if any)”; and nothing in this Plan requires the Board to have a Compensation Committee.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Delegation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Board may delegate responsibility for administering the Plan with respect to designated classes of Eligible Persons to different committees consisting of one or more members of the Board, subject to such limitations as the Board deems appropriate, except with respect to Awards to any Participants who are then subject to Section 16 of the Exchange Act. Members of any committee shall serve for such term as the Board may determine, subject to removal by the Board at any time. To the extent consistent with applicable law, the Board or the Compensation Committee may authorize one or more officers of the Company to grant Awards to designated classes of Eligible Persons, within limits specifically prescribed by the Board or the Compensation Committee; provided, however, that no such officer shall have or obtain authority to grant Awards to himself or herself or to any person then subject to Section 16 of the Exchange Act. All references in the Plan to the “Committee” shall be, as applicable, to the Board, the Compensation Committee or any other committee or any officer to whom the Board or the Compensation Committee has delegated authority to administer the Plan.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Administration and Interpretation by Committee</w:t>
      </w:r>
    </w:p>
    <w:p>
      <w:pPr>
        <w:spacing w:after="0" w:line="225" w:lineRule="exact"/>
        <w:rPr>
          <w:sz w:val="20"/>
          <w:szCs w:val="20"/>
          <w:color w:val="auto"/>
        </w:rPr>
      </w:pPr>
    </w:p>
    <w:p>
      <w:pPr>
        <w:jc w:val="both"/>
        <w:ind w:left="340" w:firstLine="316"/>
        <w:spacing w:after="0" w:line="266"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terms and conditions explicitly set forth in the Plan and to the extent permitted by applicable law, the Committee shall have full power and exclusive authority, subject to such orders or resolutions not inconsistent with the provisions of the Plan as may from time to time be adopted by the Board, to</w:t>
      </w:r>
    </w:p>
    <w:p>
      <w:pPr>
        <w:spacing w:after="0" w:line="176"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Eligible Persons to whom Awards may from time to time be granted under the Plan;</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 under the Plan;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9" w:name="page10"/>
    <w:bookmarkEnd w:id="9"/>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of Common Stock, if any, to be covered by each Award granted under the Plan;</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under the Plan;</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forms of notice or agreement for use under the Plan;</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Awards may be settled in cash, shares of Common Stock or other property or canceled or suspended;</w:t>
      </w:r>
    </w:p>
    <w:p>
      <w:pPr>
        <w:spacing w:after="0" w:line="161" w:lineRule="exact"/>
        <w:rPr>
          <w:rFonts w:ascii="Times New Roman" w:cs="Times New Roman" w:eastAsia="Times New Roman" w:hAnsi="Times New Roman"/>
          <w:sz w:val="18"/>
          <w:szCs w:val="18"/>
          <w:color w:val="auto"/>
        </w:rPr>
      </w:pPr>
    </w:p>
    <w:p>
      <w:pPr>
        <w:ind w:left="660" w:firstLine="320"/>
        <w:spacing w:after="0" w:line="282" w:lineRule="auto"/>
        <w:tabs>
          <w:tab w:leader="none" w:pos="134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cash, shares of Common Stock, other property and other amounts payable with respect to an Award shall be deferred either automatically or at the election of the Participant;</w:t>
      </w:r>
    </w:p>
    <w:p>
      <w:pPr>
        <w:spacing w:after="0" w:line="16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instrument evidencing an Award, notice or agreement executed or entered into under the Plan;</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such rules and regulations as it shall deem appropriate for the proper administration of the Plan;</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ministerial duties to such of the Company’s employees as it so determines; and</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Committee deems necessary or desirable for administration of the Plan.</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right, without stockholder approval, to cancel or amend outstanding Options or SARs for the purpose of repricing, replacing or regranting such Options or SARs with Options or SARs that have a purchase or grant price that is less than the purchase or grant price for the original Options or SARs except in connection with adjustments provided in Section 15.</w:t>
      </w:r>
    </w:p>
    <w:p>
      <w:pPr>
        <w:spacing w:after="0" w:line="176"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vesting of an Award of a Company-approved leave of absence or a Participant’s working less than full-time shall be determined by the Company’s chief human resources officer or other person performing that function or, with respect to directors or executive officers, by the Committee, whose determination shall be final.</w:t>
      </w:r>
    </w:p>
    <w:p>
      <w:pPr>
        <w:spacing w:after="0" w:line="176" w:lineRule="exact"/>
        <w:rPr>
          <w:rFonts w:ascii="Times New Roman" w:cs="Times New Roman" w:eastAsia="Times New Roman" w:hAnsi="Times New Roman"/>
          <w:sz w:val="18"/>
          <w:szCs w:val="18"/>
          <w:color w:val="auto"/>
        </w:rPr>
      </w:pPr>
    </w:p>
    <w:p>
      <w:pPr>
        <w:ind w:left="340" w:firstLine="316"/>
        <w:spacing w:after="0" w:line="282" w:lineRule="auto"/>
        <w:tabs>
          <w:tab w:leader="none" w:pos="9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the Committee shall be final, conclusive and binding on all persons, including the Company, any Participant, any stockholder and any Eligible Person. A majority of the members of the Committee may determine its 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SECTION4. SHARES SUBJECT TO THE PLAN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Authorized Number of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adjustment from time to time as provided in subsection 15.1, a maximum of 1,500,000 shares of Common Stock shall be available for issuance under the Plan. Shares issued under the Plan shall be drawn from authorized and unissued shares or shares now held or subsequently acquired by the Company as treasury shares.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Share Usage</w:t>
      </w:r>
    </w:p>
    <w:p>
      <w:pPr>
        <w:spacing w:after="0" w:line="225" w:lineRule="exact"/>
        <w:rPr>
          <w:sz w:val="20"/>
          <w:szCs w:val="20"/>
          <w:color w:val="auto"/>
        </w:rPr>
      </w:pPr>
    </w:p>
    <w:p>
      <w:pPr>
        <w:jc w:val="both"/>
        <w:ind w:left="340" w:firstLine="316"/>
        <w:spacing w:after="0" w:line="261" w:lineRule="auto"/>
        <w:tabs>
          <w:tab w:leader="none" w:pos="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 Any shares of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660" w:firstLine="320"/>
        <w:spacing w:after="0" w:line="282" w:lineRule="auto"/>
        <w:tabs>
          <w:tab w:leader="none" w:pos="1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by a Participant or retained by the Company as full or partial payment to the Company for the purchase price of an Award or to satisfy tax withholding obligations in connection with an Award, or</w:t>
      </w:r>
    </w:p>
    <w:p>
      <w:pPr>
        <w:spacing w:after="0" w:line="161" w:lineRule="exact"/>
        <w:rPr>
          <w:rFonts w:ascii="Times New Roman" w:cs="Times New Roman" w:eastAsia="Times New Roman" w:hAnsi="Times New Roman"/>
          <w:sz w:val="18"/>
          <w:szCs w:val="18"/>
          <w:color w:val="auto"/>
        </w:rPr>
      </w:pPr>
    </w:p>
    <w:p>
      <w:pPr>
        <w:ind w:left="660" w:firstLine="320"/>
        <w:spacing w:after="0" w:line="282" w:lineRule="auto"/>
        <w:tabs>
          <w:tab w:leader="none" w:pos="1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by an Award that is settled in cash, or in a manner such that some or all of the shares of Common Stock covered by the Award are not issued,</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shall be available for Awards under the Plan. The number of shares of Common Stock available for issuance under the Plan shall not be reduced to reflect any dividends or dividend equivalents that are reinvested into additional shares of Common Stock or credited as additional shares of Common Stock subject or paid with respect to an Award.</w:t>
      </w:r>
    </w:p>
    <w:p>
      <w:pPr>
        <w:spacing w:after="0" w:line="176" w:lineRule="exact"/>
        <w:rPr>
          <w:sz w:val="20"/>
          <w:szCs w:val="20"/>
          <w:color w:val="auto"/>
        </w:rPr>
      </w:pPr>
    </w:p>
    <w:p>
      <w:pPr>
        <w:ind w:left="340" w:firstLine="316"/>
        <w:spacing w:after="0" w:line="282" w:lineRule="auto"/>
        <w:tabs>
          <w:tab w:leader="none" w:pos="9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also, without limitation, have the authority to grant Awards as an alternative to or as the form of payment for grants or rights earned or due under other compensation plans or arrangements of the Company.</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53" w:lineRule="auto"/>
        <w:tabs>
          <w:tab w:leader="none" w:pos="9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to the contrary, the Committee may grant Substitute Awards under the Plan. Substitute Awards shall not reduce the number of shares authorized for issuance under the Plan. In the event that an Acquired Entity has shares available for awards or grants under one or more preexisting plans not adopted in contemplation of such acquisition or combination, then, to the extent determined by the Committee, the shares available for grant pursuant to the terms of such preexisting plan (as adjusted, to the extent appropriate, using the exchange ratio or other adjustment or valuation ratio or formula used in such acquisition or combination to determine the consideration payable to holders of common stock of the entities that are parties to such acquisition or combination) may be used for Awards under the Plan and shall not reduce the number of shares of Common Stock authorized for issuance under the Plan; provided, however, that Awards using such available shares shall not be made after the date awards or grants could have been made under the terms of such preexisting plans, absent the acquisition or combination, and shall only be made to individuals who were not employees or directors of the Company or a Related Company prior to such acquisition or combination. In the event that a written agreement between the Company and an Acquired Entity pursuant to which a merger or consolidation is completed is approved by the Board and that agreement sets forth the terms and conditions of the substitution for or assumption of outstanding awards of the Acquired Entity, those terms and conditions shall be deemed to be the action of the Committee without any further action by the Committee, except as may be required for compliance with Rule 16b-3 under the Exchange Act, and the persons holding such awards shall be deemed to be Participants.</w:t>
      </w:r>
    </w:p>
    <w:p>
      <w:pPr>
        <w:spacing w:after="0" w:line="188"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in this subsection, the maximum number of shares that may be issued upon the exercise of Incentive Stock Options shall equal the aggregate share number stated in subsection 4.1, subject to adjustment as provided in subsection 15.1.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SECTION5. ELIGIBILITY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Award may be granted to any employee, officer or director of the Company or a Related Company whom the Committee from time to time selects. An Award may also be granted to any consultant, agent, advisor or independent contractor for bona fide services rendered to the Company or any Related Company that:</w:t>
      </w:r>
    </w:p>
    <w:p>
      <w:pPr>
        <w:spacing w:after="0" w:line="176"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 connection with the offer and sale of the Company’s securities in a capital-raising transaction,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or indirectly promote or maintain a market for the Company’s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SECTION6. AWARDS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Form, Grant and Settlement of Awards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shall have the authority, in its sole discretion, to determine the type or types of Awards to be granted under the Plan. Such Awards may be granted either alone or in addition to or in tandem with any other type of Award. Any Award settlement may be subject to such conditions, restrictions and contingencies as the Committee shall determine.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Evidence of Awards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granted under the Plan shall be evidenced by a written, including an electronic, notice or agreement that shall contain such terms, conditions, limitations and restrictions as the Committee shall deem advisable and that are not inconsistent with the Plan.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Deferrals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may permit or require a Participant to defer receipt of the payment of any Award if and to the extent set forth in the instrument evidencing the Award at the time of grant. If any such deferral election is permitted or required, the Committee, in its sole discretion, shall establish rules and procedures for such payment deferrals, which may include the grant of additional Awards or provisions for the payment or crediting of interest or dividend equivalents, including converting such credits to deferred stock unit equivalents; provided, however, that the terms of any deferrals under this subsection shall comply with all applicable law, rules and regulations, including, without limitation, Section 409A of the Code.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Dividends and Distributions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if and to the extent the Committee so determines and sets forth in the instrument evidencing the Award at the time of grant, be credited with dividends paid with respect to shares of Common Stock underlying an Award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SECTION7. OPTIONS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Grant of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grant Options designated as Incentive Stock Options or Nonqualified Stock Options.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Option Exercise Price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shares purchased under an Option shall be at least 100% of the Fair Market Value on the Grant Date (and shall not be less than the minimum exercise price required by Section 422 of the Code with respect to Incentive Stock Options), except in the case of Substitute Awards.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Term of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earlier termination in accordance with the terms of the Plan and the instrument evidencing the Option, the maximum term of a Nonqualified Stock Option shall be ten years from the Grant Date.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Exercise of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an Option has vested and become exercisable, the Option may be exercised in whole or from time to time in part by delivery to or as directed or approved by the Company of a properly executed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subsection 7.5 and Section 13. An Option may be exercised only for whole shares and may not be exercised for less than a reasonable number of shares at any one time, as determined by the Committee.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Payment of Exercise Price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for shares purchased under an Option shall be paid in full to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w:t>
      </w:r>
    </w:p>
    <w:p>
      <w:pPr>
        <w:spacing w:after="0" w:line="176" w:lineRule="exact"/>
        <w:rPr>
          <w:sz w:val="20"/>
          <w:szCs w:val="20"/>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or wire transfer;</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9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Company withhold shares of Common Stock that would otherwise be issued on exercise of the Option that have an aggregate Fair Market Value equal to the aggregate exercise price of the shares being purchased under the Option;</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(either actually or, so long as the Common Stock is registered under Section 12(b) or 12(g) of the Exchange Act, by attestation) shares of Common Stock owned by the Participant that have an aggregate Fair Market Value equal to the aggregate exercise price of the shares being purchased under the Option;</w:t>
      </w:r>
    </w:p>
    <w:p>
      <w:pPr>
        <w:spacing w:after="0" w:line="176" w:lineRule="exact"/>
        <w:rPr>
          <w:rFonts w:ascii="Times New Roman" w:cs="Times New Roman" w:eastAsia="Times New Roman" w:hAnsi="Times New Roman"/>
          <w:sz w:val="18"/>
          <w:szCs w:val="18"/>
          <w:color w:val="auto"/>
        </w:rPr>
      </w:pPr>
    </w:p>
    <w:p>
      <w:pPr>
        <w:jc w:val="both"/>
        <w:ind w:left="340" w:right="20" w:firstLine="316"/>
        <w:spacing w:after="0" w:line="261" w:lineRule="auto"/>
        <w:tabs>
          <w:tab w:leader="none" w:pos="9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Common Stock is registered under Section 12(b) or 12(g) of the Exchange Act, and to the extent permitted by law, delivery of a properly executed exercise notice, together with irrevocable instructions to a brokerage firm designated or approved by the Company to deliver promptly to the Company the aggregate amount of proceeds to pay the Option exercise price and any withholding tax obligations that may arise in connection with the exercise, all in accordance with the regulations of the Federal Reserve Board; or</w:t>
      </w:r>
    </w:p>
    <w:p>
      <w:pPr>
        <w:spacing w:after="0" w:line="18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 as the Committee may permit.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u w:val="single" w:color="auto"/>
          <w:color w:val="auto"/>
        </w:rPr>
        <w:t>Effect of Termination of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If not so established in the instrument evidencing the Option, the Option shall be exercisable according to the following terms and conditions, which may be waived or modified by the Committee at any time:</w:t>
      </w:r>
    </w:p>
    <w:p>
      <w:pPr>
        <w:spacing w:after="0" w:line="180" w:lineRule="exact"/>
        <w:rPr>
          <w:sz w:val="20"/>
          <w:szCs w:val="20"/>
          <w:color w:val="auto"/>
        </w:rPr>
      </w:pPr>
    </w:p>
    <w:p>
      <w:pPr>
        <w:ind w:left="900" w:hanging="24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 Option that is not vested and exercisable on the date of a Participant’s Termination of Service shall expire on such date.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 Option that is vested and exercisable on the date of a Participant’s Termination of Service shall expire on the earliest to occur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w:t>
      </w:r>
    </w:p>
    <w:p>
      <w:pPr>
        <w:spacing w:after="0" w:line="207" w:lineRule="exact"/>
        <w:rPr>
          <w:sz w:val="20"/>
          <w:szCs w:val="20"/>
          <w:color w:val="auto"/>
        </w:rPr>
      </w:pPr>
    </w:p>
    <w:p>
      <w:pPr>
        <w:ind w:left="660" w:right="20" w:firstLine="320"/>
        <w:spacing w:after="0" w:line="282" w:lineRule="auto"/>
        <w:tabs>
          <w:tab w:leader="none" w:pos="12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Termination of Service occurs for reasons other than Cause, Retirement, Disability or death, the date that is three months after such Termination of Service;</w:t>
      </w:r>
    </w:p>
    <w:p>
      <w:pPr>
        <w:spacing w:after="0" w:line="161" w:lineRule="exact"/>
        <w:rPr>
          <w:rFonts w:ascii="Times New Roman" w:cs="Times New Roman" w:eastAsia="Times New Roman" w:hAnsi="Times New Roman"/>
          <w:sz w:val="18"/>
          <w:szCs w:val="18"/>
          <w:color w:val="auto"/>
        </w:rPr>
      </w:pPr>
    </w:p>
    <w:p>
      <w:pPr>
        <w:ind w:left="660" w:firstLine="320"/>
        <w:spacing w:after="0" w:line="282" w:lineRule="auto"/>
        <w:tabs>
          <w:tab w:leader="none" w:pos="12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Termination of Service occurs by reason of Retirement, Disability or death, the one-year anniversary of such Termination of Service;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Expiration Date.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a Participant dies after his or her Termination of Service but while an Option is otherwise exercisable, the portion of the Option that is vested and exercisable on the date of such Termination of Service shall expire upon the earlier to occur of (y) the Option Expiration Date and (z) the one-year anniversary of the date of death, unless the Committee determines otherwise. Also notwithstanding the foregoing, in case a Participant’s Termination of Service occurs for Cause, all Options granted to the Participant shall automatically expire upon first notification to the Participant of such termination, unless the Committee determines otherwise. If a Participant’s employment or service relationship with the Company is suspended pending an investigation of whether the Participant shall be terminated for Cause, all the Participant’s rights under any Option shall likewise be suspended during the period of investigation. If any facts that would constitute termination for Cause are discovered after a Participant’s Termination of Service, any Option then held by the Participant may be immediately terminated by the Committee, in its sole discretion.</w:t>
      </w:r>
    </w:p>
    <w:p>
      <w:pPr>
        <w:spacing w:after="0" w:line="185" w:lineRule="exact"/>
        <w:rPr>
          <w:sz w:val="20"/>
          <w:szCs w:val="20"/>
          <w:color w:val="auto"/>
        </w:rPr>
      </w:pPr>
    </w:p>
    <w:p>
      <w:pPr>
        <w:jc w:val="both"/>
        <w:ind w:left="340" w:firstLine="316"/>
        <w:spacing w:after="0" w:line="258" w:lineRule="auto"/>
        <w:tabs>
          <w:tab w:leader="none" w:pos="9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a Participant’s Termination of Service, but while the Option is otherwise exercisable, would be prohibited solely because the issuance of Common Stock would violate either the registration requirements under the Securities Act or the Company’s insider trading policy, then the Option shall remain exercisable until the earlier of (i) the Option Expiration Date and (ii) the expiration of a period of three months (or such longer period of time as determined by the Committee in its sole discretion) after the Participant’s Termination of Service during which the exercise of the Option would not be in violation of such Securities Act or insider trading policy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SECTION8. INCENTIVE STOCK OPTION LIMITATIONS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provisions of the Plan, the terms and conditions of any Incentive Stock Options shall also comply in all respects with Section 422 of the Code, or any successor provision, and any applicable regulations thereunder, including, to the extent required thereunder, the following: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Dollar Limitation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the aggregate Fair Market Value (determined as of the Grant Date) of Common Stock with respect to which a Participant’s Incentive Stock Options become exercisable for the first time during any calendar year (under the Plan and all other stock option plans of the Company and its parent and subsidiary corporations)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Eligible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who are not employees of the Company or one of its parent or subsidiary corporations may not be granted Incentive Stock Options.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Exercise Price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an Incentive Stock Option shall be at least 100% of the Fair Market Value of the Common Stock on the Grant Date, and in the case of an Incentive Stock Option granted to a Participant who owns more than 10% of the total combined voting power of all classes of the stock of the Company or of its parent or subsidiary corporations (a “Ten Percent Stockholder”), shall not be less than 110% of the Fair Market Value of the Common Stock on the Grant Date. The determination of more than 10% ownership shall be made in accordance with Section 422 of the Code.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u w:val="single" w:color="auto"/>
          <w:color w:val="auto"/>
        </w:rPr>
        <w:t>Option Term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earlier termination in accordance with the terms of the Plan and the instrument evidencing the Option, the maximum term of an Incentive Stock Option shall not exceed ten years, and in the case of an Incentive Stock Option granted to a Ten Percent Stockholder, shall not exceed five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Exercisability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date of a Participant’s Termination of Service if termination was for reasons other than death or disability, (b) more than one year after the date of a Participant’s Termination of Service if termination was by reason of disability, or (c) after the Participant has been on leave of absence for more than 90 days, unless the Participant’s reemployment rights are guaranteed by statute or contract.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u w:val="single" w:color="auto"/>
          <w:color w:val="auto"/>
        </w:rPr>
        <w:t>Taxation of Incentive 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obtain certain tax benefits afforded to Incentive Stock Options under Section 422 of the Code, the Participant must hold the shares acquired upon the exercise of an Incentive Stock Option for two years after the Grant Date and one year after the date of exercise.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Participant may be subject to the alternative minimum tax at the time of exercise of an Incentive Stock Option. The Participant shall give the Company prompt notice of any disposition of shares acquired on the exercise of an Incentive Stock Option prior to the expiration of such holding periods.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u w:val="single" w:color="auto"/>
          <w:color w:val="auto"/>
        </w:rPr>
        <w:t>Code Definitions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Section, “disability” “parent corporation” and “subsidiary corporation” shall have the meanings attributed to those terms for purposes of Section 422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SECTION9. STOCK APPRECIATION RIGHTS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Grant of Stock Appreciation Rights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Committee may grant Stock Appreciation Rights to Participants at any time on such terms and conditions as the Committee shall determine in its sole discretion. An SAR may be granted in tandem with an Option or alone (“freestanding”). The grant price of a tandem SAR shall be equal to the exercise price of the related Option. The grant price of a freestanding SAR shall be established in accordance with procedures for Options set forth in subsection 7.2. An SAR may be exercised upon such terms and conditions and for the term as the Committee determines in its sole discretion; provided, however, that, subject to earlier termination in accordance with the terms of the Plan and the instrument evidencing the SAR, the maximum term of a freestanding SAR shall be ten years, and in the case of a tandem SAR, (a) 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Payment of SAR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exercise of an SAR, a Participant shall be entitled to receive payment in an amount determined by multiplying:</w:t>
      </w:r>
    </w:p>
    <w:p>
      <w:pPr>
        <w:spacing w:after="0" w:line="225" w:lineRule="exact"/>
        <w:rPr>
          <w:sz w:val="20"/>
          <w:szCs w:val="20"/>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the Common Stock on the date of exercise over the grant price of the SAR by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discretion of the Committee as set forth in the instrument evidencing the Award, the payment upon exercise of an SAR may be in cash, in shares, in some combination thereof or in any other manner approved by the Committee in its sole discretion.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Waiver of Restrictions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subsection 18.5, the Committee, in its sole discretion, may waive any other terms, conditions or restrictions on any SAR under such circumstances and subject to such terms and conditions as the Committee shall deem appropriate.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SECTION10. STOCK AWARDS, RESTRICTED STOCK AND STOCK UNITS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Grant of Stock Awards, Restricted Stock and Stock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may grant Stock Awards, Restricted Stock and Stock Units on such terms and conditions and subject to such repurchase or forfeiture restrictions, if any, which may be based on continuous service with the Company or a Related Company or the achievement of any performance goals, as the Committee shall determine in its sole discretion, which terms, conditions and restrictions shall be set forth in the instrument evidencing the Award.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Vesting of Restricted Stock and Stock Units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satisfaction of any terms, conditions and restrictions prescribed with respect to Restricted Stock or Stock Units, or upon a Participant’s release from any terms, conditions and restrictions of Restricted Stock or Stock Units, as determined by the Committee, and subject to the provisions of Section 13:</w:t>
      </w:r>
    </w:p>
    <w:p>
      <w:pPr>
        <w:spacing w:after="0" w:line="162" w:lineRule="exact"/>
        <w:rPr>
          <w:sz w:val="20"/>
          <w:szCs w:val="20"/>
          <w:color w:val="auto"/>
        </w:rPr>
      </w:pPr>
    </w:p>
    <w:p>
      <w:pPr>
        <w:ind w:left="900" w:hanging="24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Restricted Stock covered by each Award of Restricted Stock shall become freely transferable by the Participant, and</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9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Units shall be paid in shares of Common Stock or, if set forth in the instrument evidencing the Awards, in cash or a combination of cash and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fractional shares subject to such Awards shall be paid to the Participant in cash.</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Waiver of Restrictions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subsection 18.5, the Committee, in its sole discretion, may waive the repurchase or forfeiture period and any other terms, conditions or restrictions on any Restricted Stock or Stock Unit under such circumstances and subject to such terms and conditions as the Committee shall deem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SECTION11. PERFORMANCE AWARDS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Performance Shares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Shares may be adjusted on the basis of such further consideration as the Committee shall determine in its sole discretion.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u w:val="single" w:color="auto"/>
          <w:color w:val="auto"/>
        </w:rPr>
        <w:t>Performance Units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Units may be adjusted on the basis of such further consideration as the Committee shall determine in its sole discretion.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SECTION12. OTHER STOCK OR CASH-BASED AWARDS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and such other terms and conditions as the Committee deems appropriate, the Committee may grant other incentives payable in cash or in shares of Common Stock under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SECTION13. WITHHOLDING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require the Participant to pay to the Company the amount of:</w:t>
      </w:r>
    </w:p>
    <w:p>
      <w:pPr>
        <w:spacing w:after="0" w:line="225" w:lineRule="exact"/>
        <w:rPr>
          <w:sz w:val="20"/>
          <w:szCs w:val="20"/>
          <w:color w:val="auto"/>
        </w:rPr>
      </w:pPr>
    </w:p>
    <w:p>
      <w:pPr>
        <w:ind w:left="340" w:firstLine="316"/>
        <w:spacing w:after="0" w:line="282" w:lineRule="auto"/>
        <w:tabs>
          <w:tab w:leader="none" w:pos="9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the Company is required by applicable federal, state, local or foreign law to withhold with respect to the grant, vesting or exercise of an Award (“tax withholding obligations”);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due from the Participant to the Company or to any Related Company (“other obligations”).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not be required to issue any shares of Common Stock or otherwise settle an Award under the Plan until such tax withholding obligations and other obligations are satisfied. The Committee may permit or require a Participant to satisfy all or part of the Participant’s tax withholding obligations and other obligations by:</w:t>
      </w:r>
    </w:p>
    <w:p>
      <w:pPr>
        <w:spacing w:after="0" w:line="176" w:lineRule="exact"/>
        <w:rPr>
          <w:sz w:val="20"/>
          <w:szCs w:val="20"/>
          <w:color w:val="auto"/>
        </w:rPr>
      </w:pPr>
    </w:p>
    <w:p>
      <w:pPr>
        <w:ind w:left="1200" w:hanging="220"/>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cash to the Company,</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Company withhold an amount from any cash amounts otherwise due or to become due from the Company to the Participant,</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Company withhold a number of shares of Common Stock that would otherwise be issued to the Participant (or become vested, in the case of Restricted Stock) having a Fair Market Value equal to the tax withholding obligations and other obligations, or</w:t>
      </w:r>
    </w:p>
    <w:p>
      <w:pPr>
        <w:spacing w:after="0" w:line="161"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a number of shares of Common Stock the Participant already owns having a value equal to the tax withholding obligations and other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shares so withheld or tendered may not exceed the employer’s minimum required tax withholding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SECTION14. ASSIGNABILITY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Award or interest in an Award may be sold, assigned, pledged (as collateral for a loan or as security for the performance of an obligation or for any other purpose) or transferred by a Participant or made subject to attachment or similar proceedings otherwise than by will or by the applicable laws of descent and distribution, except to the extent the Participant designates one or more beneficiaries on a Company-approved form who may exercise the Award or receive payment under the Award after the Participant’s death. During a Participant’s lifetime, an Award may be exercised only by the Participant. Notwithstanding the foregoing and to the extent permitted by Section 422 of the Code, the Committee, in its sole discretion, may permit a Participant to assign or transfer an Award subject to such terms and conditions as the Committee shall specify.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SECTION15. ADJUSTMENTS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u w:val="single" w:color="auto"/>
          <w:color w:val="auto"/>
        </w:rPr>
        <w:t>Adjustment of Shares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event,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w:t>
      </w:r>
    </w:p>
    <w:p>
      <w:pPr>
        <w:spacing w:after="0" w:line="162" w:lineRule="exact"/>
        <w:rPr>
          <w:sz w:val="20"/>
          <w:szCs w:val="20"/>
          <w:color w:val="auto"/>
        </w:rPr>
      </w:pPr>
    </w:p>
    <w:p>
      <w:pPr>
        <w:ind w:left="340" w:firstLine="316"/>
        <w:spacing w:after="0" w:line="282" w:lineRule="auto"/>
        <w:tabs>
          <w:tab w:leader="none" w:pos="9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Common Stock, or any securities exchanged therefor or received in their place, being exchanged for a different number or kind of securities of the Company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different or additional securities of the Company or any other company being received by the holders of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Committee shall make proportional adjustments in</w:t>
      </w:r>
    </w:p>
    <w:p>
      <w:pPr>
        <w:spacing w:after="0" w:line="225" w:lineRule="exact"/>
        <w:rPr>
          <w:sz w:val="20"/>
          <w:szCs w:val="20"/>
          <w:color w:val="auto"/>
        </w:rPr>
      </w:pPr>
    </w:p>
    <w:p>
      <w:pPr>
        <w:ind w:left="1200" w:hanging="220"/>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securities available for issuance under the Plan;</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securities issuable as Incentive Stock Options as set forth in subsection 4.2; and</w:t>
      </w:r>
    </w:p>
    <w:p>
      <w:pPr>
        <w:spacing w:after="0" w:line="225"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securities that are subject to any outstanding Award and the per share price of such securities, without any change in the aggregate price to be paid therefor.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by the Committee, as to the terms of any of the foregoing adjustments shall be conclusive and binding. 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 Also notwithstanding the foregoing, a dissolution or liquidation of the Company or a Company Transaction shall not be governed by this subsection but shall be governed by subsections 15.2 and 15.3, respectively.</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u w:val="single" w:color="auto"/>
          <w:color w:val="auto"/>
        </w:rPr>
        <w:t>Dissolution or Liquidation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not previously exercised or settled, and unless otherwise determined by the Committee in its sole discretion, Awards shall terminate immediately prior to the dissolution or liquidation of the Company. To the extent a vesting condition, forfeiture provision or repurchase right applicable to an Award has not been waived by the Committee, the Award shall be forfeited immediately prior to the consummation of the dissolution or liquidation.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u w:val="single" w:color="auto"/>
          <w:color w:val="auto"/>
        </w:rPr>
        <w:t>Change in Control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unless the Committee shall determine otherwise in the instrument evidencing the Award or in a written employment, services or other agreement between the Participant and the Company or a Related Company, in the event of a Change in Control:</w:t>
      </w:r>
    </w:p>
    <w:p>
      <w:pPr>
        <w:spacing w:after="0" w:line="162" w:lineRule="exact"/>
        <w:rPr>
          <w:sz w:val="20"/>
          <w:szCs w:val="20"/>
          <w:color w:val="auto"/>
        </w:rPr>
      </w:pPr>
    </w:p>
    <w:p>
      <w:pPr>
        <w:jc w:val="both"/>
        <w:ind w:left="340" w:firstLine="316"/>
        <w:spacing w:after="0" w:line="252" w:lineRule="auto"/>
        <w:tabs>
          <w:tab w:leader="none" w:pos="9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 provided, however, that with respect to a Change in Control that is a Company Transaction, such Awards shall become fully and immediately exercisable, and all applicable deferral and restriction limitations or forfeiture provisions shall lapse, only if and to the extent such Awards are not converted, assumed or replaced by the Successor Company. For the purposes of this paragraph, an Award shall be considered converted, assumed or replaced by the Successor Company if following the Company Transaction the option or right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Committee may, with the consent of the Successor Company, provide for the consideration to be received upon the exercise of the Option,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Committee, and its determination shall be conclusive and binding.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8" w:name="page19"/>
    <w:bookmarkEnd w:id="18"/>
    <w:p>
      <w:pPr>
        <w:jc w:val="both"/>
        <w:ind w:left="340" w:firstLine="316"/>
        <w:spacing w:after="0" w:line="256" w:lineRule="auto"/>
        <w:tabs>
          <w:tab w:leader="none" w:pos="9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Performance Shares or Performance Units earned and outstanding as of the date the Change in Control is determined to have occurred shall be payable in full at the target level in accordance with the payout schedule pursuant to the instrument evidencing the Award. Any remaining Performance Shares or Performance Units (including any applicable performance period) for which the payout level has not been determined shall be prorated at the target payout level up to and including the date of such Change in Control and shall be payable in full at the target level in accordance with the payout schedule pursuant to the instrument evidencing the Award. Any existing deferrals or other restrictions not waived by the Committee in its sole discretion shall remain in effect.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15.3(a) and 15.3(b), the Committee, in its sole discretion, may (unless otherwise provided in the instrument evidencing the Award or in a written employment, services or other agreement between the Participant and the Company or a Related Company) instead provide in the event of a Change in Control that is a Company Transaction</w:t>
      </w:r>
    </w:p>
    <w:p>
      <w:pPr>
        <w:spacing w:after="0" w:line="176"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adjustments to the Plan and outstanding Awards as contemplated by subsection 15.1 or</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2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Participant’s outstanding Awards shall terminate upon or immediately prior to such Company Transaction and that such Participant shall receive, in exchange therefor, a cash payment equal to the amount (if any) by which (x) the value of the per share consideration received by holders of Common Stock in the Company Transaction, or, if the Company Transaction is a sale of assets or otherwise does not result in direct receipt of consideration by holders of Common Stock, the value of the deemed per share consideration received, in each case as determined by the Committee in its sole discretion, multiplied by the number of shares of Common Stock subject to such outstanding Awards (to the extent then vested and exercisable or whether or not then vested and exercisable, as determined by the Committee in its sole discretion) exceeds (y) if applicable, the respective aggregate exercise price or grant price for such Awards.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u w:val="single" w:color="auto"/>
          <w:color w:val="auto"/>
        </w:rPr>
        <w:t>Further Adjustment of Awards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subsections 15.2 and 15.3, the Committee shall have the discretion, exercisable at any time before a sale, merger, consolidation, reorganization, liquidation, dissolution or change in control of the Company, as defined by the Committee, to take such further action as it determines to be necessary or advisable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Committee may take such actions with respect to all Participants, to certain categories of Participants or only to individual Participants. The Committee may take such action before or after granting Awards to which the action relates and before or after any public announcement with respect to such sale, merger, consolidation, reorganization, liquidation, dissolution or change in control that is the reason for such action.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u w:val="single" w:color="auto"/>
          <w:color w:val="auto"/>
        </w:rPr>
        <w:t>No Limitations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u w:val="single" w:color="auto"/>
          <w:color w:val="auto"/>
        </w:rPr>
        <w:t>Fractional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of any adjustment in the number of shares covered by any Award, each such Award shall cover only the number of full shares resulting from such adjustment.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u w:val="single" w:color="auto"/>
          <w:color w:val="auto"/>
        </w:rPr>
        <w:t>Section 409A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in this Plan to the contrary,</w:t>
      </w:r>
    </w:p>
    <w:p>
      <w:pPr>
        <w:spacing w:after="0" w:line="225" w:lineRule="exact"/>
        <w:rPr>
          <w:sz w:val="20"/>
          <w:szCs w:val="20"/>
          <w:color w:val="auto"/>
        </w:rPr>
      </w:pPr>
    </w:p>
    <w:p>
      <w:pPr>
        <w:ind w:left="340" w:firstLine="316"/>
        <w:spacing w:after="0" w:line="282" w:lineRule="auto"/>
        <w:tabs>
          <w:tab w:leader="none" w:pos="9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15 or any other amendments to Awards that are considered “deferred compensation” within the meaning of Section 409A of the Code shall be made in compliance with the requirements of Section 409A of the Code and</w:t>
      </w:r>
    </w:p>
    <w:p>
      <w:pPr>
        <w:spacing w:after="0" w:line="161" w:lineRule="exact"/>
        <w:rPr>
          <w:rFonts w:ascii="Times New Roman" w:cs="Times New Roman" w:eastAsia="Times New Roman" w:hAnsi="Times New Roman"/>
          <w:sz w:val="18"/>
          <w:szCs w:val="18"/>
          <w:color w:val="auto"/>
        </w:rPr>
      </w:pPr>
    </w:p>
    <w:p>
      <w:pPr>
        <w:ind w:left="340" w:firstLine="316"/>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15 or any other amendments to Awards that are not considered “deferred compensation” subject to Section 409A of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made in such a manner as to ensure that after such adjustment or amendment the Awards either</w:t>
      </w:r>
    </w:p>
    <w:p>
      <w:pPr>
        <w:spacing w:after="0" w:line="225" w:lineRule="exact"/>
        <w:rPr>
          <w:sz w:val="20"/>
          <w:szCs w:val="20"/>
          <w:color w:val="auto"/>
        </w:rPr>
      </w:pPr>
    </w:p>
    <w:p>
      <w:pPr>
        <w:ind w:left="1200" w:hanging="220"/>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not to be subject to Section 409A of the Code or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Section 409A of the Code.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SECTION16. MARKET STANDOFF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 underwritten public offering by the Company of its equity securities pursuant to an effective registration statement filed under the Securities Act, no person may sell, make any short sale of, loan, hypothecate, pledge, grant any option for the purchase of, or otherwise dispose of or transfer for value or otherwise agree to engage in any of the foregoing transactions with respect to any shares issued pursuant to an Award granted under the Plan without the prior written consent of the Company or its underwriters. Such limitations shall be in effect for such period of time as may be requested by the Company or such underwriters; provided, however, that in no event shall such period exceed</w:t>
      </w:r>
    </w:p>
    <w:p>
      <w:pPr>
        <w:spacing w:after="0" w:line="184" w:lineRule="exact"/>
        <w:rPr>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effective date of the registration statement for such public offering or</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9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longer period requested by the underwriter as is necessary to comply with regulatory restrictions on the publication of research reports (including, but not limited to, NYSE Rule 472 or NASD Conduct Rule 2711).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any stock split, stock dividend, recapitalization, combination of shares, exchange of shares or other change affecting the Company’s outstanding Common Stock effected as a class without the Company’s receipt of consideration, any new, substituted or additional securities distributed with respect to any shares issued as or pursuant to an Award under the Plan shall be immediately subject to the provisions of this Section 16, to the same extent such shares are at such time covered by such provisions. In order to enforce the limitations of this Section 16, the Company may impose stop-transfer instructions with respect to the purchased shares until the end of the applicable standoff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SECTION17. AMENDMENT AND 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u w:val="single" w:color="auto"/>
          <w:color w:val="auto"/>
        </w:rPr>
        <w:t>Amendment, Suspension or Termination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or the Compensation Committee may amend, suspend or terminate the Plan or any portion of the Plan at any time and in such respects as it shall deem advisable; provided, however, that, to the extent required by applicable law, regulation or stock exchange rule, stockholder approval shall be required for any amendment to the Plan; and provided, further, that any amendment that requires stockholder approval may be made only by the Board and not by the Compensation Committee. Subject to subsection 17.3, the Committee may amend the terms of any outstanding Award, prospectively or retroactively.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u w:val="single" w:color="auto"/>
          <w:color w:val="auto"/>
        </w:rPr>
        <w:t>Term of the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sooner terminated as provided herein, the Plan shall terminate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 Stock Options may be granted more than 10 years after the later of:</w:t>
      </w:r>
    </w:p>
    <w:p>
      <w:pPr>
        <w:spacing w:after="0" w:line="176" w:lineRule="exact"/>
        <w:rPr>
          <w:sz w:val="20"/>
          <w:szCs w:val="20"/>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Plan by the Board; and</w:t>
      </w:r>
    </w:p>
    <w:p>
      <w:pPr>
        <w:spacing w:after="0" w:line="225" w:lineRule="exact"/>
        <w:rPr>
          <w:rFonts w:ascii="Times New Roman" w:cs="Times New Roman" w:eastAsia="Times New Roman" w:hAnsi="Times New Roman"/>
          <w:sz w:val="18"/>
          <w:szCs w:val="18"/>
          <w:color w:val="auto"/>
        </w:rPr>
      </w:pPr>
    </w:p>
    <w:p>
      <w:pPr>
        <w:ind w:right="380" w:firstLine="656"/>
        <w:spacing w:after="0" w:line="501"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adoption by the Board of any amendment to the Plan that constitutes the adoption of a new plan for purposes of Section 422 of the Code. 17.3 </w:t>
      </w:r>
      <w:r>
        <w:rPr>
          <w:rFonts w:ascii="Times New Roman" w:cs="Times New Roman" w:eastAsia="Times New Roman" w:hAnsi="Times New Roman"/>
          <w:sz w:val="18"/>
          <w:szCs w:val="18"/>
          <w:u w:val="single" w:color="auto"/>
          <w:color w:val="auto"/>
        </w:rPr>
        <w:t>Consent of Participant</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amendment, suspension or termination of the Plan or a portion thereof or the amendment of an outstanding Award shall not, without the Participant’s consent, materially adversely affect any rights under any Award theretofore granted to a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15 shall not be subject to these restrictions.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SECTION18. GENERAL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u w:val="single" w:color="auto"/>
          <w:color w:val="auto"/>
        </w:rPr>
        <w:t>No Individual Rights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individual or Eligible Person shall have any claim to be granted any Award under the Plan, and the Company has no obligation for uniformity of treatment of Eligible Persons or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Related Company or limit in any way the right of the Company or any Related Company to terminate a Participant’s employment or other relationship at any time, with or without cause.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u w:val="single" w:color="auto"/>
          <w:color w:val="auto"/>
        </w:rPr>
        <w:t>Issuance of Shares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 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As a condition to the exercise of an Option or any other receipt of Common Stock pursuant to an Award under the Plan, the Company may require:</w:t>
      </w:r>
    </w:p>
    <w:p>
      <w:pPr>
        <w:spacing w:after="0" w:line="189" w:lineRule="exact"/>
        <w:rPr>
          <w:sz w:val="20"/>
          <w:szCs w:val="20"/>
          <w:color w:val="auto"/>
        </w:rPr>
      </w:pPr>
    </w:p>
    <w:p>
      <w:pPr>
        <w:ind w:left="340" w:firstLine="316"/>
        <w:spacing w:after="0" w:line="282" w:lineRule="auto"/>
        <w:tabs>
          <w:tab w:leader="none" w:pos="9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represent and warrant at the time of any such exercise or receipt that such shares are being purchased or received only for the Participant’s own account and without any present intention to sell or distribute such shares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action or agreement by the Participant as may from time to time be necessary to comply with the federal, state and foreign securities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At the option of the Company, a stop-transfer order against any such shares may be placed on the official stock books and records of the Company, and a legend indicating that such shares may not be pledged, sold or otherwise transferred, unless an opinion of counsel (satisfactory to the Company, in its sole discretion) is provided stating that such transfer is not in violation of any applicable law or regulation, may be stamped on stock certificates to ensure exemption from registration. The Committee may also require the Participant to execute and deliver to the Company a purchase agreement or such other agreement as may be in use by the Company at such time that describes certain terms and conditions applicable to the shares. 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u w:val="single" w:color="auto"/>
          <w:color w:val="auto"/>
        </w:rPr>
        <w:t>Indemnification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claim, action, suit or proceeding against such person; provided, however, that such person shall give the Company an opportunity, at its own expense, to handle and defend the same before such person undertakes to handle and defend it on such person’s own behalf. This duty to indemnify shall not apply to the extent that:</w:t>
      </w:r>
    </w:p>
    <w:p>
      <w:pPr>
        <w:spacing w:after="0" w:line="189" w:lineRule="exact"/>
        <w:rPr>
          <w:sz w:val="20"/>
          <w:szCs w:val="20"/>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loss, cost, liability or expense is a result of such person’s own willful misconduct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prohibited by statute.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right of indemnification shall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u w:val="single" w:color="auto"/>
          <w:color w:val="auto"/>
        </w:rPr>
        <w:t>No Rights as a Stockholder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Committee or in the instrument evidencing the Award or in a written employment, services or other agreement, no Award, other than a Stock Award, shall entitle the Participant to any cash dividend, voting or other right of a stockholder unless and until the date of issuance under the Plan of the shares that are the subject of such Award.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u w:val="single" w:color="auto"/>
          <w:color w:val="auto"/>
        </w:rPr>
        <w:t>Compliance with Laws and Regulations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interpreting and applying the provisions of the Plan, any Option granted as an Incentive Stock Option pursuant to the Plan shall, to the extent permitted by law, be construed as an “incentive stock option” within the meaning of Section 422 of the Code. Any Award granted pursuant to the Plan is intended to comply with the requirements of Section 409A of the Code, including any applicable regulations and guidance issued thereunder, and including transition guidance, to the extent Section 409A of the Code is applicable thereto, and the terms of the Plan and any Award granted under the Plan shall be interpreted, operated and administered in a manner consistent with this intention to the extent the Committee deems necessary or advisable to comply with Section 409A of the Code and any official guidance issued thereunder. Any payment or distribution that is to be made under the Plan (or pursuant to an Award under the Plan) to a Participant who is a “specified employee” of the Company within the meaning of that term under Section 409A of the Code and as determined by the Committee, on account of a “separation from service” within the meaning of that term under Section 409A of the Code, may not be made before the date which is six months after the date of such “separation from service” unless the payment or distribution is exempt from the application of Section 409A of the Code by reason of the short-term deferral exemption or otherwise. Notwithstanding any other provision in the Plan, the Committee, to the extent it deems necessary or advisable in its sole discretion, reserves the right, but shall not be required, to unilaterally amend or modify the Plan and any Award granted under the Plan so that the Award qualifies for exemption from or complies with Section 409A of the Code; provided, however, that the Committee makes no representations that Awards granted under the Plan shall be exempt from or comply with Section 409A of the Code and makes no undertaking to preclude Section 409A of the Code from applying to Awards granted under the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Participants in Other Countries or Jurisdictions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shall have the authority to adopt such modifications, procedures, subplans and the like as may be necessary or desirable to comply with provisions of the laws or regulations of other countries or jurisdictions in which the Company or any Related Company may operate or have employees to ensure the viability of the benefits from Awards granted to Participants employed in such countries or jurisdictions, meet the requirements that permit the Plan to operate in a qualified or tax-efficient manner, comply with applicable foreign laws or regulations and meet the objectives of the Plan.</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u w:val="single" w:color="auto"/>
          <w:color w:val="auto"/>
        </w:rPr>
        <w:t>No Trust or Fund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7"/>
          <w:szCs w:val="17"/>
          <w:u w:val="single" w:color="auto"/>
          <w:color w:val="auto"/>
        </w:rPr>
        <w:t>Successors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7"/>
          <w:szCs w:val="17"/>
          <w:u w:val="single" w:color="auto"/>
          <w:color w:val="auto"/>
        </w:rPr>
        <w:t>Severability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u w:val="single" w:color="auto"/>
          <w:color w:val="auto"/>
        </w:rPr>
        <w:t>Choice of Law and Venue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Plan, all Awards granted thereunder and all determinations made and actions taken pursuant hereto, to the extent not otherwise governed by the laws of the United States, shall be governed by the laws of the State of Nevada without giving effect to principles of conflicts of law. Participants irrevocably consent to the nonexclusive jurisdiction and venue of the state and federal courts located in the State of Nevada.</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8"/>
          <w:szCs w:val="18"/>
          <w:u w:val="single" w:color="auto"/>
          <w:color w:val="auto"/>
        </w:rPr>
        <w:t>Legal Requirements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granting of Awards and the issuance of shares of Common Stock under the Plan are subject to all applicable laws, rules and regulations and to such approvals by any governmental agencies or national securities exchanges as may be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SECTION19. EFFECTIVE DATE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date (the “Effective Date”) is the date on which the Plan is adopted by the Board. If the stockholders of the Company do not approve the Plan within 12 months after the Board’s adoption of the Plan, any Incentive Stock Options granted under the Plan will be treated as Nonqualified Stock Options.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Entity” means any entity acquired by the Company or a Related Company or with which the Company or a Related Company merges or combines.</w:t>
      </w:r>
    </w:p>
    <w:p>
      <w:pPr>
        <w:spacing w:after="0" w:line="21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“Award” means any Option, Stock Appreciation Right, Stock Award, Restricted Stock, Stock Unit, Performance Share, Performance Unit, or other incentive payable in shares of Common Stock as may be designated by the Committee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means the Board of Directors of the Company.</w:t>
      </w:r>
    </w:p>
    <w:p>
      <w:pPr>
        <w:spacing w:after="0" w:line="212" w:lineRule="exact"/>
        <w:rPr>
          <w:sz w:val="20"/>
          <w:szCs w:val="20"/>
          <w:color w:val="auto"/>
        </w:rPr>
      </w:pPr>
    </w:p>
    <w:p>
      <w:pPr>
        <w:jc w:val="both"/>
        <w:ind w:left="340" w:hanging="323"/>
        <w:spacing w:after="0" w:line="242" w:lineRule="auto"/>
        <w:rPr>
          <w:sz w:val="20"/>
          <w:szCs w:val="20"/>
          <w:color w:val="auto"/>
        </w:rPr>
      </w:pPr>
      <w:r>
        <w:rPr>
          <w:rFonts w:ascii="Times New Roman" w:cs="Times New Roman" w:eastAsia="Times New Roman" w:hAnsi="Times New Roman"/>
          <w:sz w:val="18"/>
          <w:szCs w:val="18"/>
          <w:color w:val="auto"/>
        </w:rPr>
        <w:t>“Cause” means, unless otherwise defined in the instrument evidencing an Award or in a written employment, services or other agreement between the Participant and the Company or a Related Company, dishonesty, fraud, serious or willful misconduct, unauthorized use or disclosure of confidential information or trade secrets, or conduct prohibited by law (except minor violations), in each case as determined by the Company’s chief human resources officer or other person performing that function or, in the case of directors and executive officers, the Committee, whose determination shall be conclusive and binding.</w:t>
      </w:r>
    </w:p>
    <w:p>
      <w:pPr>
        <w:spacing w:after="0" w:line="185"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“Change in Control” means, unless the Committee determines otherwise with respect to an Award at the time the Award is granted or unless otherwise defined for purposes of an Award in a written employment, services or other agreement between the Participant and the Company or a Related Company, the occurrence of any of the following events:</w:t>
      </w:r>
    </w:p>
    <w:p>
      <w:pPr>
        <w:spacing w:after="0" w:line="177" w:lineRule="exact"/>
        <w:rPr>
          <w:sz w:val="20"/>
          <w:szCs w:val="20"/>
          <w:color w:val="auto"/>
        </w:rPr>
      </w:pPr>
    </w:p>
    <w:p>
      <w:pPr>
        <w:ind w:left="340" w:firstLine="316"/>
        <w:spacing w:after="0" w:line="282" w:lineRule="auto"/>
        <w:tabs>
          <w:tab w:leader="none" w:pos="9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any individual, entity or group, within the meaning of Section 13(d)(3) or 14(d)(2) of the Exchange Act, (a “Person”) of beneficial ownership (within the meaning of Rule 13d-3 promulgated under the Exchange Act) of more than fifty percent (50%) of either:</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shares of Common Stock of the Company (the “Outstanding Common Stock”) or</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26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voting power of the then outstanding voting securities of the Company entitled to vote generally in the election of directors (the “Outstanding Voting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however, the following:</w:t>
      </w:r>
    </w:p>
    <w:p>
      <w:pPr>
        <w:spacing w:after="0" w:line="225" w:lineRule="exact"/>
        <w:rPr>
          <w:sz w:val="20"/>
          <w:szCs w:val="20"/>
          <w:color w:val="auto"/>
        </w:rPr>
      </w:pPr>
    </w:p>
    <w:p>
      <w:pPr>
        <w:ind w:left="660" w:right="20" w:firstLine="320"/>
        <w:spacing w:after="0" w:line="282" w:lineRule="auto"/>
        <w:tabs>
          <w:tab w:leader="none" w:pos="13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directly from the Company, other than an acquisition by virtue of the exercise, exchange or conversion of any Convertible Securities unless such securities were themselves acquired directly from the Company,</w:t>
      </w:r>
    </w:p>
    <w:p>
      <w:pPr>
        <w:spacing w:after="0" w:line="161"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the Company;</w:t>
      </w:r>
    </w:p>
    <w:p>
      <w:pPr>
        <w:spacing w:after="0" w:line="225"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4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any Person pursuant to a transaction which complies with clauses (b)(i), (b)(ii) and (b)(iii) of the definition of Company Transaction; or</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55" w:lineRule="auto"/>
        <w:tabs>
          <w:tab w:leader="none" w:pos="9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hereof,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Transaction; or</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the Company of a complete liquidation or dissolution of the Company, other than to an entity pursuant to a transaction which would comply with clauses (1), (2) and (3) of the definition of “Company Transaction”, assuming for this purpose that such transaction were a Company Transaction.</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Transaction” means the consummation of</w:t>
      </w:r>
    </w:p>
    <w:p>
      <w:pPr>
        <w:spacing w:after="0" w:line="212" w:lineRule="exact"/>
        <w:rPr>
          <w:sz w:val="20"/>
          <w:szCs w:val="20"/>
          <w:color w:val="auto"/>
        </w:rPr>
      </w:pPr>
    </w:p>
    <w:p>
      <w:pPr>
        <w:ind w:left="900" w:hanging="244"/>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merger or consolidation of the Company or</w:t>
      </w:r>
    </w:p>
    <w:p>
      <w:pPr>
        <w:spacing w:after="0" w:line="225"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and its direct and indirect subsidiaries taken as a whole, except in each case a transaction pursuant to which</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2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and entities who are the beneficial owners, respectively, of the Outstanding Common Stock and Outstanding Voting Securities immediately prior to such transaction will beneficially own, directly or indirectly, more than sixty percent (60%) of, respectively, the outstanding shares of common stock, and the combined voting power of the outstanding voting securities entitled to vote generally in the election of directors, as the case may be, of the entity resulting from such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transaction, of the Outstanding Common Stock and Outstanding Voting Securities, as the case may be,</w:t>
      </w:r>
    </w:p>
    <w:p>
      <w:pPr>
        <w:spacing w:after="0" w:line="189"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Company) will beneficially own, directly or indirectly, more than twenty-five percent (25%) of, respectively, the outstanding shares of common stock of the Company resulting from such transaction or the combined voting power of the outstanding voting securities of such Company entitled to vote generally in the election of directors, except to the extent that such ownership existed with respect to the Company prior to the transaction, and</w:t>
      </w:r>
    </w:p>
    <w:p>
      <w:pPr>
        <w:spacing w:after="0" w:line="180" w:lineRule="exact"/>
        <w:rPr>
          <w:rFonts w:ascii="Times New Roman" w:cs="Times New Roman" w:eastAsia="Times New Roman" w:hAnsi="Times New Roman"/>
          <w:sz w:val="18"/>
          <w:szCs w:val="18"/>
          <w:color w:val="auto"/>
        </w:rPr>
      </w:pPr>
    </w:p>
    <w:p>
      <w:pPr>
        <w:ind w:left="660" w:firstLine="320"/>
        <w:spacing w:after="0" w:line="282" w:lineRule="auto"/>
        <w:tabs>
          <w:tab w:leader="none" w:pos="130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were members of the Board immediately prior to the approval by the stockholders of the Company of such transaction will constitute at least a majority of the members of the board of directors of the Company resulting from such transaction.</w:t>
      </w:r>
    </w:p>
    <w:p>
      <w:pPr>
        <w:spacing w:after="0" w:line="162" w:lineRule="exact"/>
        <w:rPr>
          <w:sz w:val="20"/>
          <w:szCs w:val="20"/>
          <w:color w:val="auto"/>
        </w:rPr>
      </w:pPr>
    </w:p>
    <w:p>
      <w:pPr>
        <w:ind w:left="340" w:hanging="323"/>
        <w:spacing w:after="0" w:line="266" w:lineRule="auto"/>
        <w:rPr>
          <w:sz w:val="20"/>
          <w:szCs w:val="20"/>
          <w:color w:val="auto"/>
        </w:rPr>
      </w:pPr>
      <w:r>
        <w:rPr>
          <w:rFonts w:ascii="Times New Roman" w:cs="Times New Roman" w:eastAsia="Times New Roman" w:hAnsi="Times New Roman"/>
          <w:sz w:val="18"/>
          <w:szCs w:val="18"/>
          <w:color w:val="auto"/>
        </w:rPr>
        <w:t>“Convertible Security” means any security convertible into or exchangeable for shares of Common Stock of the Company, or any option, warrant or other right to acquire shares of Common Stock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means the Internal Revenue Code of 1986, as amended from time to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has the meaning set forth in subsection 3.2.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means the common stock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means OptimizeRx Corporation, a Nevada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“Compensation Committee” means the Compensation Committee (if any) of the Board.</w:t>
      </w:r>
    </w:p>
    <w:p>
      <w:pPr>
        <w:spacing w:after="0" w:line="212" w:lineRule="exact"/>
        <w:rPr>
          <w:sz w:val="20"/>
          <w:szCs w:val="20"/>
          <w:color w:val="auto"/>
        </w:rPr>
      </w:pPr>
    </w:p>
    <w:p>
      <w:pPr>
        <w:jc w:val="both"/>
        <w:ind w:left="340" w:hanging="323"/>
        <w:spacing w:after="0" w:line="241" w:lineRule="auto"/>
        <w:rPr>
          <w:sz w:val="20"/>
          <w:szCs w:val="20"/>
          <w:color w:val="auto"/>
        </w:rPr>
      </w:pPr>
      <w:r>
        <w:rPr>
          <w:rFonts w:ascii="Times New Roman" w:cs="Times New Roman" w:eastAsia="Times New Roman" w:hAnsi="Times New Roman"/>
          <w:sz w:val="18"/>
          <w:szCs w:val="18"/>
          <w:color w:val="auto"/>
        </w:rPr>
        <w:t>“Disability” means, unless otherwise defined by the Committee for purposes of the Plan or in the instrument evidencing an Award or in a written employment, services or other agreement between the Participant and the Company or a Related Company, a mental or physical impairment of the Participant that is expected to result in death or that has lasted or is expected to last for a continuous period of 12 months or more and that causes the Participant to be unable to perform his or her material duties for the Company or a Related Company and to be engaged in any substantial gainful activity, in each case as determined by the Company’s chief human resources officer or other person performing that function or, in the case of directors and executive officers, the Committee, whose determination shall be conclusive and binding.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has the meaning set forth in Section 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Person” means any person eligible to receive an Award as set forth in Section 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means any individual, entity or group (within the meaning of Section 13(d)(3) or Section 14(d)(2) of the Exchange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 from time to time.</w:t>
      </w:r>
    </w:p>
    <w:p>
      <w:pPr>
        <w:spacing w:after="0" w:line="212"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“Fair Market Value” means the closing price for the Common Stock on any given date during regular trading, or if not trading on that date, such price on the last preceding date on which the Common Stock was traded, unless determined otherwise by the Committee using such methods or procedures as it may establish.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 means the later of:</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date on which the Committee completes the corporate action authorizing the grant of an Award or such later date specified by the Committee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340" w:firstLine="316"/>
        <w:spacing w:after="0" w:line="282" w:lineRule="auto"/>
        <w:tabs>
          <w:tab w:leader="none" w:pos="9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conditions precedent to an Award have been satisfied, provided that conditions to the exercisability or vesting of Awards shall not defer the Grant Date.</w:t>
      </w:r>
    </w:p>
    <w:p>
      <w:pPr>
        <w:spacing w:after="0" w:line="162" w:lineRule="exact"/>
        <w:rPr>
          <w:sz w:val="20"/>
          <w:szCs w:val="20"/>
          <w:color w:val="auto"/>
        </w:rPr>
      </w:pPr>
    </w:p>
    <w:p>
      <w:pPr>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“Incentive Stock Option” means an Option granted with the intention that it qualify as an “incentive stock option” as that term is defined for purposes of Section 422 of the Code or any successor provision.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“include”, “includes” and words of similar import shall be construed broadly as if followed by the phrase “without limitation”.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 means an Option other than an Incentive Stock Option.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means a right to purchase Common Stock granted under Section 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Expiration Date” means the last day of the maximum term of an Option.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Company Common Stock” has the meaning set forth in the definition of “Change in Control.”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Company Voting Securities” has the meaning set forth in the definition of “Change in Control.”</w:t>
      </w:r>
    </w:p>
    <w:p>
      <w:pPr>
        <w:spacing w:after="0" w:line="212" w:lineRule="exact"/>
        <w:rPr>
          <w:sz w:val="20"/>
          <w:szCs w:val="20"/>
          <w:color w:val="auto"/>
        </w:rPr>
      </w:pPr>
    </w:p>
    <w:p>
      <w:pPr>
        <w:ind w:left="340" w:hanging="323"/>
        <w:spacing w:after="0" w:line="266" w:lineRule="auto"/>
        <w:rPr>
          <w:sz w:val="20"/>
          <w:szCs w:val="20"/>
          <w:color w:val="auto"/>
        </w:rPr>
      </w:pPr>
      <w:r>
        <w:rPr>
          <w:rFonts w:ascii="Times New Roman" w:cs="Times New Roman" w:eastAsia="Times New Roman" w:hAnsi="Times New Roman"/>
          <w:sz w:val="18"/>
          <w:szCs w:val="18"/>
          <w:color w:val="auto"/>
        </w:rPr>
        <w:t>“Parent Company” means a company or other entity which as a result of a Company Transaction owns the Company or all or substantially all of the Company’s assets either directly or through one or more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“Participant” means any Eligible Person to whom an Award is granted.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Award” means an Award of Performance Shares or Performance Units granted under Section 11.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Share” means an Award of units denominated in shares of Common Stock granted under subsection 11.1.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means an Award of units denominated in cash or property other than shares of Common Stock granted under subsection 11.2.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means this OptimizeRx Corporation 2013 Incentive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Company” means any entity that is directly or indirectly controlled by, in control of or under common control with the Company.</w:t>
      </w:r>
    </w:p>
    <w:p>
      <w:pPr>
        <w:spacing w:after="0" w:line="21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“Restricted Stock” means an Award of shares of Common Stock granted under Section 10, the rights of ownership of which are subject to restrictions prescribed by the Committee.</w:t>
      </w:r>
    </w:p>
    <w:p>
      <w:pPr>
        <w:spacing w:after="0" w:line="162" w:lineRule="exact"/>
        <w:rPr>
          <w:sz w:val="20"/>
          <w:szCs w:val="20"/>
          <w:color w:val="auto"/>
        </w:rPr>
      </w:pPr>
    </w:p>
    <w:p>
      <w:pPr>
        <w:jc w:val="both"/>
        <w:ind w:left="340" w:hanging="323"/>
        <w:spacing w:after="0" w:line="245" w:lineRule="auto"/>
        <w:rPr>
          <w:sz w:val="20"/>
          <w:szCs w:val="20"/>
          <w:color w:val="auto"/>
        </w:rPr>
      </w:pPr>
      <w:r>
        <w:rPr>
          <w:rFonts w:ascii="Times New Roman" w:cs="Times New Roman" w:eastAsia="Times New Roman" w:hAnsi="Times New Roman"/>
          <w:sz w:val="18"/>
          <w:szCs w:val="18"/>
          <w:color w:val="auto"/>
        </w:rPr>
        <w:t>“Retirement” means, unless otherwise defined in the instrument evidencing the Award or in a written employment, services or other agreement between the Participant and the Company or a Related Company, retirement as defined for purposes of the Plan by the Committee or the Company’s chief human resources officer or other person performing that function or, if not so defined, means Termination of Service on or after the date the Participant reaches “normal retirement age” as that term is defined in Section 411(a)(8) of the Code.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 from time to time.</w:t>
      </w:r>
    </w:p>
    <w:p>
      <w:pPr>
        <w:spacing w:after="0" w:line="21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“Stock Appreciation Right” or “SAR” means a right granted under subsection 9.1 to receive the excess of the Fair Market Value of a specified number of shares of Common Stock over the grant price.</w:t>
      </w:r>
    </w:p>
    <w:p>
      <w:pPr>
        <w:spacing w:after="0" w:line="162" w:lineRule="exact"/>
        <w:rPr>
          <w:sz w:val="20"/>
          <w:szCs w:val="20"/>
          <w:color w:val="auto"/>
        </w:rPr>
      </w:pPr>
    </w:p>
    <w:p>
      <w:pPr>
        <w:jc w:val="both"/>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“Stock Award” means an Award of shares of Common Stock granted under Section 10, the rights of ownership of which are not subject to restrictions prescribed by the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Unit” means an Award denominated in units of Common Stock granted under Section 10.</w:t>
      </w:r>
    </w:p>
    <w:p>
      <w:pPr>
        <w:spacing w:after="0" w:line="21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“Substitute Awards” means Awards granted or shares of Common Stock issued by the Company in substitution or exchange for awards previously granted by an Acquired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Company” means the surviving company, the successor company or Parent Company, as applicable, in connection with a Company Transaction.</w:t>
      </w:r>
    </w:p>
    <w:p>
      <w:pPr>
        <w:spacing w:after="0" w:line="212" w:lineRule="exact"/>
        <w:rPr>
          <w:sz w:val="20"/>
          <w:szCs w:val="20"/>
          <w:color w:val="auto"/>
        </w:rPr>
      </w:pPr>
    </w:p>
    <w:p>
      <w:pPr>
        <w:jc w:val="both"/>
        <w:ind w:left="340" w:hanging="323"/>
        <w:spacing w:after="0" w:line="238" w:lineRule="auto"/>
        <w:rPr>
          <w:sz w:val="20"/>
          <w:szCs w:val="20"/>
          <w:color w:val="auto"/>
        </w:rPr>
      </w:pPr>
      <w:r>
        <w:rPr>
          <w:rFonts w:ascii="Times New Roman" w:cs="Times New Roman" w:eastAsia="Times New Roman" w:hAnsi="Times New Roman"/>
          <w:sz w:val="18"/>
          <w:szCs w:val="18"/>
          <w:color w:val="auto"/>
        </w:rPr>
        <w:t>“Termination of Service” means a termination of employment or service relationship with the Company or a Related Company for any reason, whether voluntary or involuntary, including by reason of death, Disability or Retirement.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Committee, whose determination shall be conclusive and binding. Transfer of a Participant’s employment or service relationship between the Company and any Related Company shall not be considered a Termination of Service for purposes of an Award. Unless the Committee determines otherwise, a Termination of Service shall be deemed to occur if the Participant’s employment or service relationship is with an entity that has ceased to be a Related Company. A Participant’s change in status from an employee of the Company or a Related Company to a consultant, advisor or independent contractor of the Company or a Related Company or a change in status from a consultant, advisor or independent contractor of the Company or a Related Company to an employee of the Company or a Related Company, shall not be considered a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“Vesting Commencement Date” means the Grant Date or such other date selected by the Committee as the date from which an Award begins to vest.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ADOPTION AND AMENDMENTS/ADJUSTMENTS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SUMMARY PAGE</w:t>
            </w:r>
          </w:p>
        </w:tc>
        <w:tc>
          <w:tcPr>
            <w:tcW w:w="4260" w:type="dxa"/>
            <w:vAlign w:val="bottom"/>
          </w:tcPr>
          <w:p>
            <w:pPr>
              <w:spacing w:after="0"/>
              <w:rPr>
                <w:sz w:val="20"/>
                <w:szCs w:val="20"/>
                <w:color w:val="auto"/>
              </w:rPr>
            </w:pPr>
          </w:p>
        </w:tc>
      </w:tr>
      <w:tr>
        <w:trPr>
          <w:trHeight w:val="378"/>
        </w:trPr>
        <w:tc>
          <w:tcPr>
            <w:tcW w:w="37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Date of Board</w:t>
            </w: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Action</w:t>
            </w:r>
          </w:p>
        </w:tc>
        <w:tc>
          <w:tcPr>
            <w:tcW w:w="2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Section/Effect</w:t>
            </w: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Date of Shareholder</w:t>
            </w:r>
          </w:p>
        </w:tc>
      </w:tr>
      <w:tr>
        <w:trPr>
          <w:trHeight w:val="378"/>
        </w:trPr>
        <w:tc>
          <w:tcPr>
            <w:tcW w:w="37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Action</w:t>
            </w:r>
          </w:p>
        </w:tc>
        <w:tc>
          <w:tcPr>
            <w:tcW w:w="1080" w:type="dxa"/>
            <w:vAlign w:val="bottom"/>
          </w:tcPr>
          <w:p>
            <w:pPr>
              <w:spacing w:after="0"/>
              <w:rPr>
                <w:sz w:val="24"/>
                <w:szCs w:val="24"/>
                <w:color w:val="auto"/>
              </w:rPr>
            </w:pPr>
          </w:p>
        </w:tc>
        <w:tc>
          <w:tcPr>
            <w:tcW w:w="2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of Amendment</w:t>
            </w: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Approval</w:t>
            </w:r>
          </w:p>
        </w:tc>
      </w:tr>
      <w:tr>
        <w:trPr>
          <w:trHeight w:val="675"/>
        </w:trPr>
        <w:tc>
          <w:tcPr>
            <w:tcW w:w="370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June 14, 2013</w:t>
            </w:r>
          </w:p>
        </w:tc>
        <w:tc>
          <w:tcPr>
            <w:tcW w:w="3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Initial Plan Adoption</w:t>
            </w: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June 14, 2013</w:t>
            </w:r>
          </w:p>
        </w:tc>
      </w:tr>
      <w:tr>
        <w:trPr>
          <w:trHeight w:val="486"/>
        </w:trPr>
        <w:tc>
          <w:tcPr>
            <w:tcW w:w="3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228"/>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3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28</w:t>
            </w:r>
          </w:p>
        </w:tc>
        <w:tc>
          <w:tcPr>
            <w:tcW w:w="4260" w:type="dxa"/>
            <w:vAlign w:val="bottom"/>
          </w:tcPr>
          <w:p>
            <w:pPr>
              <w:spacing w:after="0"/>
              <w:rPr>
                <w:sz w:val="19"/>
                <w:szCs w:val="19"/>
                <w:color w:val="auto"/>
              </w:rPr>
            </w:pPr>
          </w:p>
        </w:tc>
      </w:tr>
    </w:tbl>
    <w:p>
      <w:pPr>
        <w:sectPr>
          <w:pgSz w:w="11900" w:h="16838" w:orient="portrait"/>
          <w:cols w:equalWidth="0" w:num="1">
            <w:col w:w="11420"/>
          </w:cols>
          <w:pgMar w:left="240" w:top="621" w:right="239" w:bottom="1440" w:gutter="0" w:footer="0" w:header="0"/>
        </w:sectPr>
      </w:pPr>
    </w:p>
    <w:bookmarkStart w:id="28" w:name="page29"/>
    <w:bookmarkEnd w:id="2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lowerLetter"/>
      <w:start w:val="1"/>
    </w:lvl>
    <w:lvl w:ilvl="1">
      <w:lvlJc w:val="left"/>
      <w:lvlText w:val="(%2)"/>
      <w:numFmt w:val="lowerRoman"/>
      <w:start w:val="1"/>
    </w:lvl>
  </w:abstractNum>
  <w:abstractNum w:abstractNumId="4">
    <w:nsid w:val="257130A3"/>
    <w:multiLevelType w:val="hybridMultilevel"/>
    <w:lvl w:ilvl="0">
      <w:lvlJc w:val="left"/>
      <w:lvlText w:val="%1"/>
      <w:numFmt w:val="lowerLetter"/>
      <w:start w:val="1"/>
    </w:lvl>
    <w:lvl w:ilvl="1">
      <w:lvlJc w:val="left"/>
      <w:lvlText w:val="(%2)"/>
      <w:numFmt w:val="lowerRoman"/>
      <w:start w:val="3"/>
    </w:lvl>
  </w:abstractNum>
  <w:abstractNum w:abstractNumId="5">
    <w:nsid w:val="62BBD95A"/>
    <w:multiLevelType w:val="hybridMultilevel"/>
    <w:lvl w:ilvl="0">
      <w:lvlJc w:val="left"/>
      <w:lvlText w:val="(%1)"/>
      <w:numFmt w:val="lowerLetter"/>
      <w:start w:val="2"/>
    </w:lvl>
    <w:lvl w:ilvl="1">
      <w:lvlJc w:val="left"/>
      <w:lvlText w:val="%2"/>
      <w:numFmt w:val="lowerRoman"/>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Roman"/>
      <w:start w:val="1"/>
    </w:lvl>
  </w:abstractNum>
  <w:abstractNum w:abstractNumId="8">
    <w:nsid w:val="333AB105"/>
    <w:multiLevelType w:val="hybridMultilevel"/>
    <w:lvl w:ilvl="0">
      <w:lvlJc w:val="left"/>
      <w:lvlText w:val="(%1)"/>
      <w:numFmt w:val="lowerLetter"/>
      <w:start w:val="2"/>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Roman"/>
      <w:start w:val="1"/>
    </w:lvl>
  </w:abstractNum>
  <w:abstractNum w:abstractNumId="13">
    <w:nsid w:val="75A2A8D4"/>
    <w:multiLevelType w:val="hybridMultilevel"/>
    <w:lvl w:ilvl="0">
      <w:lvlJc w:val="left"/>
      <w:lvlText w:val="(%1)"/>
      <w:numFmt w:val="lowerLetter"/>
      <w:start w:val="3"/>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lvl w:ilvl="1">
      <w:lvlJc w:val="left"/>
      <w:lvlText w:val="(%2)"/>
      <w:numFmt w:val="lowerRoman"/>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lvl w:ilvl="1">
      <w:lvlJc w:val="left"/>
      <w:lvlText w:val="(%2)"/>
      <w:numFmt w:val="lowerRoman"/>
      <w:start w:val="1"/>
    </w:lvl>
  </w:abstractNum>
  <w:abstractNum w:abstractNumId="29">
    <w:nsid w:val="6CEAF087"/>
    <w:multiLevelType w:val="hybridMultilevel"/>
    <w:lvl w:ilvl="0">
      <w:lvlJc w:val="left"/>
      <w:lvlText w:val="%1"/>
      <w:numFmt w:val="lowerLetter"/>
      <w:start w:val="1"/>
    </w:lvl>
    <w:lvl w:ilvl="1">
      <w:lvlJc w:val="left"/>
      <w:lvlText w:val="(%2)"/>
      <w:numFmt w:val="lowerRoman"/>
      <w:start w:val="3"/>
    </w:lvl>
  </w:abstractNum>
  <w:abstractNum w:abstractNumId="30">
    <w:nsid w:val="22221A70"/>
    <w:multiLevelType w:val="hybridMultilevel"/>
    <w:lvl w:ilvl="0">
      <w:lvlJc w:val="left"/>
      <w:lvlText w:val="(%1)"/>
      <w:numFmt w:val="lowerLetter"/>
      <w:start w:val="2"/>
    </w:lvl>
    <w:lvl w:ilvl="1">
      <w:lvlJc w:val="left"/>
      <w:lvlText w:val="%2"/>
      <w:numFmt w:val="lowerRoman"/>
      <w:start w:val="1"/>
    </w:lvl>
  </w:abstractNum>
  <w:abstractNum w:abstractNumId="31">
    <w:nsid w:val="4516DDE9"/>
    <w:multiLevelType w:val="hybridMultilevel"/>
    <w:lvl w:ilvl="0">
      <w:lvlJc w:val="left"/>
      <w:lvlText w:val="(%1)"/>
      <w:numFmt w:val="lowerLetter"/>
      <w:start w:val="3"/>
    </w:lvl>
  </w:abstractNum>
  <w:abstractNum w:abstractNumId="32">
    <w:nsid w:val="3006C83E"/>
    <w:multiLevelType w:val="hybridMultilevel"/>
    <w:lvl w:ilvl="0">
      <w:lvlJc w:val="left"/>
      <w:lvlText w:val="(%1)"/>
      <w:numFmt w:val="lowerLetter"/>
      <w:start w:val="1"/>
    </w:lvl>
    <w:lvl w:ilvl="1">
      <w:lvlJc w:val="left"/>
      <w:lvlText w:val="(%2)"/>
      <w:numFmt w:val="lowerRoman"/>
      <w:start w:val="1"/>
    </w:lvl>
  </w:abstractNum>
  <w:abstractNum w:abstractNumId="33">
    <w:nsid w:val="614FD4A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2019-12-07T19:38:26Z</dcterms:created>
  <dcterms:modified xsi:type="dcterms:W3CDTF">2019-12-07T19:38:26Z</dcterms:modified>
</cp:coreProperties>
</file>