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31"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9, 2022</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OptimizeRx Corporation</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2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9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001-38543</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26-1265381</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920" w:type="dxa"/>
            <w:vAlign w:val="bottom"/>
            <w:tcBorders>
              <w:top w:val="single" w:sz="8" w:color="auto"/>
            </w:tcBorders>
            <w:gridSpan w:val="3"/>
          </w:tcPr>
          <w:p>
            <w:pPr>
              <w:jc w:val="center"/>
              <w:ind w:right="6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52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9"/>
        </w:trPr>
        <w:tc>
          <w:tcPr>
            <w:tcW w:w="4520" w:type="dxa"/>
            <w:vAlign w:val="bottom"/>
            <w:tcBorders>
              <w:bottom w:val="single" w:sz="8" w:color="auto"/>
            </w:tcBorders>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400 Water Street, Suite 200, Rochester, MI</w:t>
            </w: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48307</w:t>
            </w:r>
          </w:p>
        </w:tc>
      </w:tr>
      <w:tr>
        <w:trPr>
          <w:trHeight w:val="234"/>
        </w:trPr>
        <w:tc>
          <w:tcPr>
            <w:tcW w:w="452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248-651-6568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1076325</wp:posOffset>
            </wp:positionH>
            <wp:positionV relativeFrom="paragraph">
              <wp:posOffset>19685</wp:posOffset>
            </wp:positionV>
            <wp:extent cx="498919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89195"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OPRX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 xml:space="preserve">Item 5.07 </w:t>
      </w:r>
      <w:r>
        <w:rPr>
          <w:rFonts w:ascii="Times New Roman" w:cs="Times New Roman" w:eastAsia="Times New Roman" w:hAnsi="Times New Roman"/>
          <w:sz w:val="18"/>
          <w:szCs w:val="18"/>
          <w:b w:val="1"/>
          <w:bCs w:val="1"/>
          <w:u w:val="single" w:color="auto"/>
          <w:color w:val="auto"/>
        </w:rPr>
        <w:t>Submission of Matters to a Vote of Security Holders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Company’s 2022 Annual Meeting of Stockholders (“Annual Meeting”) was held on June 9, 2022. During the Annual Meeting, stockholders were asked to consider and vote upon three proposals: (1) to elect six directors, each to serve for a term that expires at the next annual meeting of stockholders and until his or her successor has been elected and qualified or until his or her earlier death, resignation or removal; (2) to approve, on an advisory basis, the compensation of the Company’s named executive officers; and (3) to ratify UHY LLP as the Company’s independent registered public accounting firm for the 2022 fiscal year.</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the record date of April 14, 2022, there were 18,152,349 shares of the Company’s common stock issued and outstanding and entitled to vote at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Meeting. For each proposal, the results of the stockholder voting were as follows:</w:t>
      </w:r>
    </w:p>
    <w:p>
      <w:pPr>
        <w:spacing w:after="0" w:line="207" w:lineRule="exact"/>
        <w:rPr>
          <w:sz w:val="20"/>
          <w:szCs w:val="20"/>
          <w:color w:val="auto"/>
        </w:rPr>
      </w:pPr>
    </w:p>
    <w:p>
      <w:pPr>
        <w:ind w:left="340" w:right="28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nominees were each elected to serve as director for a term that expires at the next annual meeting of stockholders and until his or her successor has been elected and qualified or until his or her earlier death, resignation or removal based upon the following votes: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Nominee</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Votes For</w:t>
            </w:r>
          </w:p>
        </w:tc>
        <w:tc>
          <w:tcPr>
            <w:tcW w:w="28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Votes Withheld</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43"/>
        </w:trPr>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J. Febbo</w:t>
            </w:r>
          </w:p>
        </w:tc>
        <w:tc>
          <w:tcPr>
            <w:tcW w:w="140" w:type="dxa"/>
            <w:vAlign w:val="bottom"/>
            <w:tcBorders>
              <w:top w:val="single" w:sz="8" w:color="CCEEFF"/>
            </w:tcBorders>
            <w:shd w:val="clear" w:color="auto" w:fill="CCEEFF"/>
          </w:tcPr>
          <w:p>
            <w:pPr>
              <w:spacing w:after="0"/>
              <w:rPr>
                <w:sz w:val="21"/>
                <w:szCs w:val="21"/>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13,231,384</w:t>
            </w:r>
          </w:p>
        </w:tc>
        <w:tc>
          <w:tcPr>
            <w:tcW w:w="100" w:type="dxa"/>
            <w:vAlign w:val="bottom"/>
            <w:tcBorders>
              <w:top w:val="single" w:sz="8" w:color="CCEEFF"/>
            </w:tcBorders>
            <w:shd w:val="clear" w:color="auto" w:fill="CCEEFF"/>
          </w:tcPr>
          <w:p>
            <w:pPr>
              <w:spacing w:after="0"/>
              <w:rPr>
                <w:sz w:val="21"/>
                <w:szCs w:val="21"/>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777,882</w:t>
            </w:r>
          </w:p>
        </w:tc>
        <w:tc>
          <w:tcPr>
            <w:tcW w:w="120" w:type="dxa"/>
            <w:vAlign w:val="bottom"/>
            <w:tcBorders>
              <w:top w:val="single" w:sz="8" w:color="CCEEFF"/>
            </w:tcBorders>
            <w:shd w:val="clear" w:color="auto" w:fill="CCEEFF"/>
          </w:tcPr>
          <w:p>
            <w:pPr>
              <w:spacing w:after="0"/>
              <w:rPr>
                <w:sz w:val="21"/>
                <w:szCs w:val="21"/>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1,171,020</w:t>
            </w:r>
          </w:p>
        </w:tc>
      </w:tr>
      <w:tr>
        <w:trPr>
          <w:trHeight w:val="239"/>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Gus D. Halas</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10,008,903</w:t>
            </w:r>
          </w:p>
        </w:tc>
        <w:tc>
          <w:tcPr>
            <w:tcW w:w="10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4,000,363</w:t>
            </w:r>
          </w:p>
        </w:tc>
        <w:tc>
          <w:tcPr>
            <w:tcW w:w="1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1,171,020</w:t>
            </w:r>
          </w:p>
        </w:tc>
      </w:tr>
      <w:tr>
        <w:trPr>
          <w:trHeight w:val="247"/>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Lynn O’Connor Vos</w:t>
            </w: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10,311,772</w:t>
            </w:r>
          </w:p>
        </w:tc>
        <w:tc>
          <w:tcPr>
            <w:tcW w:w="100" w:type="dxa"/>
            <w:vAlign w:val="bottom"/>
            <w:shd w:val="clear" w:color="auto" w:fill="CCEEFF"/>
          </w:tcPr>
          <w:p>
            <w:pPr>
              <w:spacing w:after="0"/>
              <w:rPr>
                <w:sz w:val="21"/>
                <w:szCs w:val="21"/>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3,697,494</w:t>
            </w:r>
          </w:p>
        </w:tc>
        <w:tc>
          <w:tcPr>
            <w:tcW w:w="120" w:type="dxa"/>
            <w:vAlign w:val="bottom"/>
            <w:shd w:val="clear" w:color="auto" w:fill="CCEEFF"/>
          </w:tcPr>
          <w:p>
            <w:pPr>
              <w:spacing w:after="0"/>
              <w:rPr>
                <w:sz w:val="21"/>
                <w:szCs w:val="21"/>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1,171,020</w:t>
            </w:r>
          </w:p>
        </w:tc>
      </w:tr>
      <w:tr>
        <w:trPr>
          <w:trHeight w:val="239"/>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Lang</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10,442,023</w:t>
            </w:r>
          </w:p>
        </w:tc>
        <w:tc>
          <w:tcPr>
            <w:tcW w:w="10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3,567,243</w:t>
            </w:r>
          </w:p>
        </w:tc>
        <w:tc>
          <w:tcPr>
            <w:tcW w:w="1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1,171,020</w:t>
            </w:r>
          </w:p>
        </w:tc>
      </w:tr>
      <w:tr>
        <w:trPr>
          <w:trHeight w:val="247"/>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Spangler</w:t>
            </w: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12,089,880</w:t>
            </w:r>
          </w:p>
        </w:tc>
        <w:tc>
          <w:tcPr>
            <w:tcW w:w="100" w:type="dxa"/>
            <w:vAlign w:val="bottom"/>
            <w:shd w:val="clear" w:color="auto" w:fill="CCEEFF"/>
          </w:tcPr>
          <w:p>
            <w:pPr>
              <w:spacing w:after="0"/>
              <w:rPr>
                <w:sz w:val="21"/>
                <w:szCs w:val="21"/>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1,919,386</w:t>
            </w:r>
          </w:p>
        </w:tc>
        <w:tc>
          <w:tcPr>
            <w:tcW w:w="120" w:type="dxa"/>
            <w:vAlign w:val="bottom"/>
            <w:shd w:val="clear" w:color="auto" w:fill="CCEEFF"/>
          </w:tcPr>
          <w:p>
            <w:pPr>
              <w:spacing w:after="0"/>
              <w:rPr>
                <w:sz w:val="21"/>
                <w:szCs w:val="21"/>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1,171,020</w:t>
            </w:r>
          </w:p>
        </w:tc>
      </w:tr>
      <w:tr>
        <w:trPr>
          <w:trHeight w:val="234"/>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Gregory D. Wasson</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13,709,875</w:t>
            </w:r>
          </w:p>
        </w:tc>
        <w:tc>
          <w:tcPr>
            <w:tcW w:w="10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299,391</w:t>
            </w:r>
          </w:p>
        </w:tc>
        <w:tc>
          <w:tcPr>
            <w:tcW w:w="1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1,171,020</w:t>
            </w:r>
          </w:p>
        </w:tc>
      </w:tr>
    </w:tbl>
    <w:p>
      <w:pPr>
        <w:spacing w:after="0" w:line="206" w:lineRule="exact"/>
        <w:rPr>
          <w:sz w:val="20"/>
          <w:szCs w:val="20"/>
          <w:color w:val="auto"/>
        </w:rPr>
      </w:pPr>
    </w:p>
    <w:p>
      <w:pPr>
        <w:ind w:left="340" w:right="6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of the Company’s named executive officers, as described in the proxy statement, was approved on an advisory basis based upon the following votes: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Votes in Favor</w:t>
            </w:r>
          </w:p>
        </w:tc>
        <w:tc>
          <w:tcPr>
            <w:tcW w:w="28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Votes Against</w:t>
            </w:r>
          </w:p>
        </w:tc>
        <w:tc>
          <w:tcPr>
            <w:tcW w:w="28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Abstain</w:t>
            </w:r>
          </w:p>
        </w:tc>
        <w:tc>
          <w:tcPr>
            <w:tcW w:w="26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43"/>
        </w:trPr>
        <w:tc>
          <w:tcPr>
            <w:tcW w:w="282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8,907,079</w:t>
            </w:r>
          </w:p>
        </w:tc>
        <w:tc>
          <w:tcPr>
            <w:tcW w:w="140" w:type="dxa"/>
            <w:vAlign w:val="bottom"/>
            <w:tcBorders>
              <w:top w:val="single" w:sz="8" w:color="CCEEFF"/>
            </w:tcBorders>
            <w:shd w:val="clear" w:color="auto" w:fill="CCEEFF"/>
          </w:tcPr>
          <w:p>
            <w:pPr>
              <w:spacing w:after="0"/>
              <w:rPr>
                <w:sz w:val="21"/>
                <w:szCs w:val="21"/>
                <w:color w:val="auto"/>
              </w:rPr>
            </w:pPr>
          </w:p>
        </w:tc>
        <w:tc>
          <w:tcPr>
            <w:tcW w:w="270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4,678,794</w:t>
            </w:r>
          </w:p>
        </w:tc>
        <w:tc>
          <w:tcPr>
            <w:tcW w:w="100" w:type="dxa"/>
            <w:vAlign w:val="bottom"/>
            <w:tcBorders>
              <w:top w:val="single" w:sz="8" w:color="CCEEFF"/>
            </w:tcBorders>
            <w:shd w:val="clear" w:color="auto" w:fill="CCEEFF"/>
          </w:tcPr>
          <w:p>
            <w:pPr>
              <w:spacing w:after="0"/>
              <w:rPr>
                <w:sz w:val="21"/>
                <w:szCs w:val="21"/>
                <w:color w:val="auto"/>
              </w:rPr>
            </w:pPr>
          </w:p>
        </w:tc>
        <w:tc>
          <w:tcPr>
            <w:tcW w:w="268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423,393</w:t>
            </w:r>
          </w:p>
        </w:tc>
        <w:tc>
          <w:tcPr>
            <w:tcW w:w="120" w:type="dxa"/>
            <w:vAlign w:val="bottom"/>
            <w:tcBorders>
              <w:top w:val="single" w:sz="8" w:color="CCEEFF"/>
            </w:tcBorders>
            <w:shd w:val="clear" w:color="auto" w:fill="CCEEFF"/>
          </w:tcPr>
          <w:p>
            <w:pPr>
              <w:spacing w:after="0"/>
              <w:rPr>
                <w:sz w:val="21"/>
                <w:szCs w:val="21"/>
                <w:color w:val="auto"/>
              </w:rPr>
            </w:pPr>
          </w:p>
        </w:tc>
        <w:tc>
          <w:tcPr>
            <w:tcW w:w="26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1,171,020</w:t>
            </w:r>
          </w:p>
        </w:tc>
      </w:tr>
    </w:tbl>
    <w:p>
      <w:pPr>
        <w:spacing w:after="0" w:line="198"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UHY LLP was ratified as the Company’s independent registered public accounting firm for the 2022 fiscal year based upon the following votes: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Votes in Favor</w:t>
            </w:r>
          </w:p>
        </w:tc>
        <w:tc>
          <w:tcPr>
            <w:tcW w:w="38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Votes Against</w:t>
            </w:r>
          </w:p>
        </w:tc>
        <w:tc>
          <w:tcPr>
            <w:tcW w:w="360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Abstain</w:t>
            </w:r>
          </w:p>
        </w:tc>
      </w:tr>
      <w:tr>
        <w:trPr>
          <w:trHeight w:val="243"/>
        </w:trPr>
        <w:tc>
          <w:tcPr>
            <w:tcW w:w="3720" w:type="dxa"/>
            <w:vAlign w:val="bottom"/>
            <w:tcBorders>
              <w:top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15,154,056</w:t>
            </w:r>
          </w:p>
        </w:tc>
        <w:tc>
          <w:tcPr>
            <w:tcW w:w="120" w:type="dxa"/>
            <w:vAlign w:val="bottom"/>
            <w:tcBorders>
              <w:top w:val="single" w:sz="8" w:color="CCEEFF"/>
            </w:tcBorders>
            <w:shd w:val="clear" w:color="auto" w:fill="CCEEFF"/>
          </w:tcPr>
          <w:p>
            <w:pPr>
              <w:spacing w:after="0"/>
              <w:rPr>
                <w:sz w:val="21"/>
                <w:szCs w:val="21"/>
                <w:color w:val="auto"/>
              </w:rPr>
            </w:pPr>
          </w:p>
        </w:tc>
        <w:tc>
          <w:tcPr>
            <w:tcW w:w="3700" w:type="dxa"/>
            <w:vAlign w:val="bottom"/>
            <w:tcBorders>
              <w:top w:val="single" w:sz="8" w:color="auto"/>
            </w:tcBorders>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rPr>
              <w:t>3,406</w:t>
            </w:r>
          </w:p>
        </w:tc>
        <w:tc>
          <w:tcPr>
            <w:tcW w:w="100" w:type="dxa"/>
            <w:vAlign w:val="bottom"/>
            <w:tcBorders>
              <w:top w:val="single" w:sz="8" w:color="CCEEFF"/>
            </w:tcBorders>
            <w:shd w:val="clear" w:color="auto" w:fill="CCEEFF"/>
          </w:tcPr>
          <w:p>
            <w:pPr>
              <w:spacing w:after="0"/>
              <w:rPr>
                <w:sz w:val="21"/>
                <w:szCs w:val="21"/>
                <w:color w:val="auto"/>
              </w:rPr>
            </w:pPr>
          </w:p>
        </w:tc>
        <w:tc>
          <w:tcPr>
            <w:tcW w:w="3600" w:type="dxa"/>
            <w:vAlign w:val="bottom"/>
            <w:tcBorders>
              <w:top w:val="single" w:sz="8" w:color="auto"/>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22,824</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3240"/>
              <w:spacing w:after="0"/>
              <w:rPr>
                <w:sz w:val="20"/>
                <w:szCs w:val="20"/>
                <w:color w:val="auto"/>
              </w:rPr>
            </w:pPr>
            <w:r>
              <w:rPr>
                <w:rFonts w:ascii="Times New Roman" w:cs="Times New Roman" w:eastAsia="Times New Roman" w:hAnsi="Times New Roman"/>
                <w:sz w:val="18"/>
                <w:szCs w:val="18"/>
                <w:b w:val="1"/>
                <w:bCs w:val="1"/>
                <w:color w:val="auto"/>
              </w:rPr>
              <w:t>OPTIMIZERX CORPORATION</w:t>
            </w:r>
          </w:p>
        </w:tc>
      </w:tr>
      <w:tr>
        <w:trPr>
          <w:trHeight w:val="43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June 13, 2022</w:t>
            </w:r>
          </w:p>
        </w:tc>
        <w:tc>
          <w:tcPr>
            <w:tcW w:w="392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Marion Odence-Ford</w:t>
            </w:r>
          </w:p>
        </w:tc>
      </w:tr>
      <w:tr>
        <w:trPr>
          <w:trHeight w:val="198"/>
        </w:trPr>
        <w:tc>
          <w:tcPr>
            <w:tcW w:w="3520" w:type="dxa"/>
            <w:vAlign w:val="bottom"/>
          </w:tcPr>
          <w:p>
            <w:pPr>
              <w:spacing w:after="0"/>
              <w:rPr>
                <w:sz w:val="17"/>
                <w:szCs w:val="17"/>
                <w:color w:val="auto"/>
              </w:rPr>
            </w:pPr>
          </w:p>
        </w:tc>
        <w:tc>
          <w:tcPr>
            <w:tcW w:w="3920" w:type="dxa"/>
            <w:vAlign w:val="bottom"/>
          </w:tcPr>
          <w:p>
            <w:pPr>
              <w:ind w:left="3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Marion Odence-Ford</w:t>
            </w:r>
          </w:p>
        </w:tc>
      </w:tr>
      <w:tr>
        <w:trPr>
          <w:trHeight w:val="234"/>
        </w:trPr>
        <w:tc>
          <w:tcPr>
            <w:tcW w:w="3520" w:type="dxa"/>
            <w:vAlign w:val="bottom"/>
          </w:tcPr>
          <w:p>
            <w:pPr>
              <w:spacing w:after="0"/>
              <w:rPr>
                <w:sz w:val="20"/>
                <w:szCs w:val="20"/>
                <w:color w:val="auto"/>
              </w:rPr>
            </w:pPr>
          </w:p>
        </w:tc>
        <w:tc>
          <w:tcPr>
            <w:tcW w:w="392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655"/>
        </w:trPr>
        <w:tc>
          <w:tcPr>
            <w:tcW w:w="35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2</w:t>
            </w:r>
          </w:p>
        </w:tc>
        <w:tc>
          <w:tcPr>
            <w:tcW w:w="38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2022-06-13T15:47:07Z</dcterms:created>
  <dcterms:modified xsi:type="dcterms:W3CDTF">2022-06-13T15:47:07Z</dcterms:modified>
</cp:coreProperties>
</file>