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147320</wp:posOffset>
            </wp:positionH>
            <wp:positionV relativeFrom="page">
              <wp:posOffset>147320</wp:posOffset>
            </wp:positionV>
            <wp:extent cx="728154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27940"/>
                    </a:xfrm>
                    <a:prstGeom prst="rect">
                      <a:avLst/>
                    </a:prstGeom>
                    <a:noFill/>
                  </pic:spPr>
                </pic:pic>
              </a:graphicData>
            </a:graphic>
          </wp:anchor>
        </w:drawing>
        <w:t>UNITED STATES</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13G</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(Amendment No. ___)*</w:t>
      </w:r>
    </w:p>
    <w:p>
      <w:pPr>
        <w:spacing w:after="0" w:line="17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u w:val="single" w:color="auto"/>
          <w:color w:val="auto"/>
        </w:rPr>
        <w:t>OptimizeRx Corporation</w:t>
      </w:r>
    </w:p>
    <w:p>
      <w:pPr>
        <w:spacing w:after="0" w:line="25" w:lineRule="exact"/>
        <w:rPr>
          <w:sz w:val="24"/>
          <w:szCs w:val="24"/>
          <w:color w:val="auto"/>
        </w:rPr>
      </w:pPr>
    </w:p>
    <w:p>
      <w:pPr>
        <w:ind w:left="5060"/>
        <w:spacing w:after="0"/>
        <w:rPr>
          <w:sz w:val="20"/>
          <w:szCs w:val="20"/>
          <w:color w:val="auto"/>
        </w:rPr>
      </w:pPr>
      <w:r>
        <w:rPr>
          <w:rFonts w:ascii="Arial" w:cs="Arial" w:eastAsia="Arial" w:hAnsi="Arial"/>
          <w:sz w:val="19"/>
          <w:szCs w:val="19"/>
          <w:color w:val="auto"/>
        </w:rPr>
        <w:t>(Name of Issuer)</w:t>
      </w:r>
    </w:p>
    <w:p>
      <w:pPr>
        <w:spacing w:after="0" w:line="169" w:lineRule="exact"/>
        <w:rPr>
          <w:sz w:val="24"/>
          <w:szCs w:val="24"/>
          <w:color w:val="auto"/>
        </w:rPr>
      </w:pPr>
    </w:p>
    <w:p>
      <w:pPr>
        <w:ind w:left="3920"/>
        <w:spacing w:after="0"/>
        <w:rPr>
          <w:sz w:val="20"/>
          <w:szCs w:val="20"/>
          <w:color w:val="auto"/>
        </w:rPr>
      </w:pPr>
      <w:r>
        <w:rPr>
          <w:rFonts w:ascii="Arial" w:cs="Arial" w:eastAsia="Arial" w:hAnsi="Arial"/>
          <w:sz w:val="19"/>
          <w:szCs w:val="19"/>
          <w:b w:val="1"/>
          <w:bCs w:val="1"/>
          <w:u w:val="single" w:color="auto"/>
          <w:color w:val="auto"/>
        </w:rPr>
        <w:t>Common Stock, par value $0.001 per share</w:t>
      </w:r>
    </w:p>
    <w:p>
      <w:pPr>
        <w:spacing w:after="0" w:line="20" w:lineRule="exact"/>
        <w:rPr>
          <w:sz w:val="24"/>
          <w:szCs w:val="24"/>
          <w:color w:val="auto"/>
        </w:rPr>
      </w:pPr>
    </w:p>
    <w:p>
      <w:pPr>
        <w:ind w:left="4620"/>
        <w:spacing w:after="0"/>
        <w:rPr>
          <w:sz w:val="20"/>
          <w:szCs w:val="20"/>
          <w:color w:val="auto"/>
        </w:rPr>
      </w:pPr>
      <w:r>
        <w:rPr>
          <w:rFonts w:ascii="Arial" w:cs="Arial" w:eastAsia="Arial" w:hAnsi="Arial"/>
          <w:sz w:val="19"/>
          <w:szCs w:val="19"/>
          <w:color w:val="auto"/>
        </w:rPr>
        <w:t>(Title of Class of Securities)</w:t>
      </w:r>
    </w:p>
    <w:p>
      <w:pPr>
        <w:spacing w:after="0" w:line="169" w:lineRule="exact"/>
        <w:rPr>
          <w:sz w:val="24"/>
          <w:szCs w:val="24"/>
          <w:color w:val="auto"/>
        </w:rPr>
      </w:pPr>
    </w:p>
    <w:p>
      <w:pPr>
        <w:ind w:left="5240"/>
        <w:spacing w:after="0"/>
        <w:rPr>
          <w:sz w:val="20"/>
          <w:szCs w:val="20"/>
          <w:color w:val="auto"/>
        </w:rPr>
      </w:pPr>
      <w:r>
        <w:rPr>
          <w:rFonts w:ascii="Arial" w:cs="Arial" w:eastAsia="Arial" w:hAnsi="Arial"/>
          <w:sz w:val="19"/>
          <w:szCs w:val="19"/>
          <w:b w:val="1"/>
          <w:bCs w:val="1"/>
          <w:u w:val="single" w:color="auto"/>
          <w:color w:val="auto"/>
        </w:rPr>
        <w:t>68401U105</w:t>
      </w:r>
    </w:p>
    <w:p>
      <w:pPr>
        <w:spacing w:after="0" w:line="20" w:lineRule="exact"/>
        <w:rPr>
          <w:sz w:val="24"/>
          <w:szCs w:val="24"/>
          <w:color w:val="auto"/>
        </w:rPr>
      </w:pPr>
    </w:p>
    <w:p>
      <w:pPr>
        <w:ind w:left="5040"/>
        <w:spacing w:after="0"/>
        <w:rPr>
          <w:sz w:val="20"/>
          <w:szCs w:val="20"/>
          <w:color w:val="auto"/>
        </w:rPr>
      </w:pPr>
      <w:r>
        <w:rPr>
          <w:rFonts w:ascii="Arial" w:cs="Arial" w:eastAsia="Arial" w:hAnsi="Arial"/>
          <w:sz w:val="19"/>
          <w:szCs w:val="19"/>
          <w:color w:val="auto"/>
        </w:rPr>
        <w:t>(CUSIP Number)</w:t>
      </w:r>
    </w:p>
    <w:p>
      <w:pPr>
        <w:spacing w:after="0" w:line="169" w:lineRule="exact"/>
        <w:rPr>
          <w:sz w:val="24"/>
          <w:szCs w:val="24"/>
          <w:color w:val="auto"/>
        </w:rPr>
      </w:pPr>
    </w:p>
    <w:p>
      <w:pPr>
        <w:ind w:left="4920"/>
        <w:spacing w:after="0"/>
        <w:rPr>
          <w:sz w:val="20"/>
          <w:szCs w:val="20"/>
          <w:color w:val="auto"/>
        </w:rPr>
      </w:pPr>
      <w:r>
        <w:rPr>
          <w:rFonts w:ascii="Arial" w:cs="Arial" w:eastAsia="Arial" w:hAnsi="Arial"/>
          <w:sz w:val="19"/>
          <w:szCs w:val="19"/>
          <w:b w:val="1"/>
          <w:bCs w:val="1"/>
          <w:u w:val="single" w:color="auto"/>
          <w:color w:val="auto"/>
        </w:rPr>
        <w:t>December 31, 2016</w:t>
      </w:r>
    </w:p>
    <w:p>
      <w:pPr>
        <w:spacing w:after="0" w:line="20" w:lineRule="exact"/>
        <w:rPr>
          <w:sz w:val="24"/>
          <w:szCs w:val="24"/>
          <w:color w:val="auto"/>
        </w:rPr>
      </w:pPr>
    </w:p>
    <w:p>
      <w:pPr>
        <w:ind w:left="3560"/>
        <w:spacing w:after="0"/>
        <w:rPr>
          <w:sz w:val="20"/>
          <w:szCs w:val="20"/>
          <w:color w:val="auto"/>
        </w:rPr>
      </w:pPr>
      <w:r>
        <w:rPr>
          <w:rFonts w:ascii="Arial" w:cs="Arial" w:eastAsia="Arial" w:hAnsi="Arial"/>
          <w:sz w:val="19"/>
          <w:szCs w:val="19"/>
          <w:color w:val="auto"/>
        </w:rPr>
        <w:t>(Date of Event which Requires Filing of this Statement)</w:t>
      </w:r>
    </w:p>
    <w:p>
      <w:pPr>
        <w:spacing w:after="0" w:line="175"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191" w:lineRule="exact"/>
        <w:rPr>
          <w:sz w:val="24"/>
          <w:szCs w:val="24"/>
          <w:color w:val="auto"/>
        </w:rPr>
      </w:pPr>
    </w:p>
    <w:p>
      <w:pPr>
        <w:jc w:val="both"/>
        <w:ind w:left="560" w:right="9440" w:firstLine="8"/>
        <w:spacing w:after="0" w:line="475" w:lineRule="auto"/>
        <w:tabs>
          <w:tab w:leader="none" w:pos="876"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 [_] Rule 13d-1(c)</w:t>
      </w:r>
    </w:p>
    <w:p>
      <w:pPr>
        <w:ind w:left="560"/>
        <w:spacing w:after="0"/>
        <w:rPr>
          <w:rFonts w:ascii="Arial" w:cs="Arial" w:eastAsia="Arial" w:hAnsi="Arial"/>
          <w:sz w:val="18"/>
          <w:szCs w:val="18"/>
          <w:color w:val="auto"/>
        </w:rPr>
      </w:pPr>
      <w:r>
        <w:rPr>
          <w:rFonts w:ascii="Arial" w:cs="Arial" w:eastAsia="Arial" w:hAnsi="Arial"/>
          <w:sz w:val="19"/>
          <w:szCs w:val="19"/>
          <w:color w:val="auto"/>
        </w:rPr>
        <w:t>[_] Rule 13d-1(d)</w:t>
      </w:r>
    </w:p>
    <w:p>
      <w:pPr>
        <w:spacing w:after="0" w:line="191" w:lineRule="exact"/>
        <w:rPr>
          <w:sz w:val="24"/>
          <w:szCs w:val="24"/>
          <w:color w:val="auto"/>
        </w:rPr>
      </w:pPr>
    </w:p>
    <w:p>
      <w:pPr>
        <w:jc w:val="both"/>
        <w:spacing w:after="0" w:line="268"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spacing w:after="0" w:line="253" w:lineRule="auto"/>
        <w:rPr>
          <w:sz w:val="20"/>
          <w:szCs w:val="20"/>
          <w:color w:val="auto"/>
        </w:rPr>
      </w:pPr>
      <w:r>
        <w:rPr>
          <w:rFonts w:ascii="Arial" w:cs="Arial" w:eastAsia="Arial" w:hAnsi="Arial"/>
          <w:sz w:val="19"/>
          <w:szCs w:val="19"/>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28154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4318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1"/>
        </w:trPr>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580" w:type="dxa"/>
            <w:vAlign w:val="bottom"/>
          </w:tcPr>
          <w:p>
            <w:pPr>
              <w:jc w:val="center"/>
              <w:ind w:right="2784"/>
              <w:spacing w:after="0"/>
              <w:rPr>
                <w:sz w:val="20"/>
                <w:szCs w:val="20"/>
                <w:color w:val="auto"/>
              </w:rPr>
            </w:pPr>
            <w:r>
              <w:rPr>
                <w:rFonts w:ascii="Arial" w:cs="Arial" w:eastAsia="Arial" w:hAnsi="Arial"/>
                <w:sz w:val="19"/>
                <w:szCs w:val="19"/>
                <w:b w:val="1"/>
                <w:bCs w:val="1"/>
                <w:color w:val="auto"/>
              </w:rPr>
              <w:t>SCHEDULE 13G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00" w:type="dxa"/>
            <w:vAlign w:val="bottom"/>
            <w:tcBorders>
              <w:left w:val="single" w:sz="8" w:color="auto"/>
            </w:tcBorders>
            <w:gridSpan w:val="3"/>
          </w:tcPr>
          <w:p>
            <w:pPr>
              <w:ind w:left="80"/>
              <w:spacing w:after="0" w:line="172" w:lineRule="exact"/>
              <w:rPr>
                <w:sz w:val="20"/>
                <w:szCs w:val="20"/>
                <w:color w:val="auto"/>
              </w:rPr>
            </w:pPr>
            <w:r>
              <w:rPr>
                <w:rFonts w:ascii="Arial" w:cs="Arial" w:eastAsia="Arial" w:hAnsi="Arial"/>
                <w:sz w:val="16"/>
                <w:szCs w:val="16"/>
                <w:b w:val="1"/>
                <w:bCs w:val="1"/>
                <w:color w:val="auto"/>
              </w:rPr>
              <w:t>CUSIP No.</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00" w:type="dxa"/>
            <w:vAlign w:val="bottom"/>
            <w:tcBorders>
              <w:left w:val="single" w:sz="8" w:color="auto"/>
            </w:tcBorders>
            <w:gridSpan w:val="3"/>
          </w:tcPr>
          <w:p>
            <w:pPr>
              <w:ind w:left="80"/>
              <w:spacing w:after="0"/>
              <w:rPr>
                <w:sz w:val="20"/>
                <w:szCs w:val="20"/>
                <w:color w:val="auto"/>
              </w:rPr>
            </w:pPr>
            <w:r>
              <w:rPr>
                <w:rFonts w:ascii="Arial" w:cs="Arial" w:eastAsia="Arial" w:hAnsi="Arial"/>
                <w:sz w:val="16"/>
                <w:szCs w:val="16"/>
                <w:color w:val="auto"/>
              </w:rPr>
              <w:t>68401U105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580" w:type="dxa"/>
            <w:vAlign w:val="bottom"/>
            <w:tcBorders>
              <w:bottom w:val="single" w:sz="8" w:color="auto"/>
            </w:tcBorders>
            <w:gridSpan w:val="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auto"/>
              </w:rPr>
              <w:t>Harvey L. Poppel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Check the appropriate box if a member of a Group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(a)</w:t>
            </w:r>
          </w:p>
        </w:tc>
        <w:tc>
          <w:tcPr>
            <w:tcW w:w="10040" w:type="dxa"/>
            <w:vAlign w:val="bottom"/>
            <w:tcBorders>
              <w:right w:val="single" w:sz="8" w:color="auto"/>
            </w:tcBorders>
            <w:gridSpan w:val="4"/>
          </w:tcPr>
          <w:p>
            <w:pPr>
              <w:jc w:val="center"/>
              <w:ind w:right="9524"/>
              <w:spacing w:after="0"/>
              <w:rPr>
                <w:sz w:val="20"/>
                <w:szCs w:val="20"/>
                <w:color w:val="auto"/>
              </w:rPr>
            </w:pPr>
            <w:r>
              <w:rPr>
                <w:rFonts w:ascii="Arial" w:cs="Arial" w:eastAsia="Arial" w:hAnsi="Arial"/>
                <w:sz w:val="32"/>
                <w:szCs w:val="32"/>
                <w:color w:val="auto"/>
                <w:w w:val="87"/>
                <w:vertAlign w:val="subscript"/>
              </w:rPr>
              <w:t>[ x]</w:t>
            </w:r>
            <w:r>
              <w:rPr>
                <w:rFonts w:ascii="Arial" w:cs="Arial" w:eastAsia="Arial" w:hAnsi="Arial"/>
                <w:sz w:val="13"/>
                <w:szCs w:val="13"/>
                <w:color w:val="auto"/>
                <w:w w:val="87"/>
              </w:rPr>
              <w:t xml:space="preserve">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(b)</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88"/>
              </w:rPr>
              <w:t>[</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88"/>
              </w:rPr>
              <w:t>]</w:t>
            </w:r>
          </w:p>
        </w:tc>
        <w:tc>
          <w:tcPr>
            <w:tcW w:w="900" w:type="dxa"/>
            <w:vAlign w:val="bottom"/>
          </w:tcPr>
          <w:p>
            <w:pPr>
              <w:spacing w:after="0"/>
              <w:rPr>
                <w:sz w:val="17"/>
                <w:szCs w:val="17"/>
                <w:color w:val="auto"/>
              </w:rPr>
            </w:pPr>
          </w:p>
        </w:tc>
        <w:tc>
          <w:tcPr>
            <w:tcW w:w="85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580" w:type="dxa"/>
            <w:vAlign w:val="bottom"/>
            <w:tcBorders>
              <w:bottom w:val="single" w:sz="8" w:color="auto"/>
              <w:right w:val="single" w:sz="8" w:color="auto"/>
            </w:tcBorders>
            <w:gridSpan w:val="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Sec Use Only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4</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auto"/>
              </w:rPr>
              <w:t>Florida, U.S.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4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400" w:type="dxa"/>
            <w:vAlign w:val="bottom"/>
            <w:tcBorders>
              <w:right w:val="single" w:sz="8" w:color="auto"/>
            </w:tcBorders>
          </w:tcPr>
          <w:p>
            <w:pPr>
              <w:spacing w:after="0"/>
              <w:rPr>
                <w:sz w:val="17"/>
                <w:szCs w:val="17"/>
                <w:color w:val="auto"/>
              </w:rPr>
            </w:pPr>
          </w:p>
        </w:tc>
        <w:tc>
          <w:tcPr>
            <w:tcW w:w="94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Sole Voting Power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2,569,044</w:t>
            </w:r>
          </w:p>
        </w:tc>
        <w:tc>
          <w:tcPr>
            <w:tcW w:w="85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Beneficially</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5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400" w:type="dxa"/>
            <w:vAlign w:val="bottom"/>
            <w:tcBorders>
              <w:left w:val="single" w:sz="8" w:color="auto"/>
              <w:right w:val="single" w:sz="8" w:color="auto"/>
            </w:tcBorders>
            <w:gridSpan w:val="3"/>
          </w:tcPr>
          <w:p>
            <w:pPr>
              <w:jc w:val="center"/>
              <w:spacing w:after="0" w:line="173" w:lineRule="exact"/>
              <w:rPr>
                <w:sz w:val="20"/>
                <w:szCs w:val="20"/>
                <w:color w:val="auto"/>
              </w:rPr>
            </w:pPr>
            <w:r>
              <w:rPr>
                <w:rFonts w:ascii="Arial" w:cs="Arial" w:eastAsia="Arial" w:hAnsi="Arial"/>
                <w:sz w:val="16"/>
                <w:szCs w:val="16"/>
                <w:b w:val="1"/>
                <w:bCs w:val="1"/>
                <w:color w:val="auto"/>
                <w:w w:val="90"/>
              </w:rPr>
              <w:t>Owned by Each</w:t>
            </w:r>
          </w:p>
        </w:tc>
        <w:tc>
          <w:tcPr>
            <w:tcW w:w="16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6</w:t>
            </w:r>
          </w:p>
        </w:tc>
        <w:tc>
          <w:tcPr>
            <w:tcW w:w="40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40"/>
              <w:spacing w:after="0" w:line="173" w:lineRule="exact"/>
              <w:rPr>
                <w:sz w:val="20"/>
                <w:szCs w:val="20"/>
                <w:color w:val="auto"/>
              </w:rPr>
            </w:pPr>
            <w:r>
              <w:rPr>
                <w:rFonts w:ascii="Arial" w:cs="Arial" w:eastAsia="Arial" w:hAnsi="Arial"/>
                <w:sz w:val="16"/>
                <w:szCs w:val="16"/>
                <w:b w:val="1"/>
                <w:bCs w:val="1"/>
                <w:color w:val="auto"/>
              </w:rPr>
              <w:t>Shared Voting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Reporting Person</w:t>
            </w:r>
          </w:p>
        </w:tc>
        <w:tc>
          <w:tcPr>
            <w:tcW w:w="1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85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9"/>
              </w:rPr>
              <w:t>With:</w:t>
            </w:r>
          </w:p>
        </w:tc>
        <w:tc>
          <w:tcPr>
            <w:tcW w:w="1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auto"/>
              </w:rPr>
              <w:t>2,569,044</w:t>
            </w:r>
          </w:p>
        </w:tc>
        <w:tc>
          <w:tcPr>
            <w:tcW w:w="8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94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400" w:type="dxa"/>
            <w:vAlign w:val="bottom"/>
            <w:tcBorders>
              <w:right w:val="single" w:sz="8" w:color="auto"/>
            </w:tcBorders>
          </w:tcPr>
          <w:p>
            <w:pPr>
              <w:spacing w:after="0"/>
              <w:rPr>
                <w:sz w:val="19"/>
                <w:szCs w:val="19"/>
                <w:color w:val="auto"/>
              </w:rPr>
            </w:pPr>
          </w:p>
        </w:tc>
        <w:tc>
          <w:tcPr>
            <w:tcW w:w="94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Sole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400" w:type="dxa"/>
            <w:vAlign w:val="bottom"/>
            <w:tcBorders>
              <w:right w:val="single" w:sz="8" w:color="auto"/>
            </w:tcBorders>
          </w:tcPr>
          <w:p>
            <w:pPr>
              <w:spacing w:after="0"/>
              <w:rPr>
                <w:sz w:val="19"/>
                <w:szCs w:val="19"/>
                <w:color w:val="auto"/>
              </w:rPr>
            </w:pPr>
          </w:p>
        </w:tc>
        <w:tc>
          <w:tcPr>
            <w:tcW w:w="94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auto"/>
              </w:rPr>
              <w:t>2,569,044</w:t>
            </w:r>
          </w:p>
        </w:tc>
        <w:tc>
          <w:tcPr>
            <w:tcW w:w="8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gridSpan w:val="2"/>
          </w:tcPr>
          <w:p>
            <w:pPr>
              <w:spacing w:after="0"/>
              <w:rPr>
                <w:sz w:val="3"/>
                <w:szCs w:val="3"/>
                <w:color w:val="auto"/>
              </w:rPr>
            </w:pPr>
          </w:p>
        </w:tc>
        <w:tc>
          <w:tcPr>
            <w:tcW w:w="94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9</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2,569,044</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94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10</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Check box if the aggregate amount in row (9) excludes certain shares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94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11</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Percent of class represented by amount in row (9)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2"/>
              </w:rPr>
              <w:t xml:space="preserve">8.64% </w:t>
            </w:r>
            <w:r>
              <w:rPr>
                <w:rFonts w:ascii="Arial" w:cs="Arial" w:eastAsia="Arial" w:hAnsi="Arial"/>
                <w:sz w:val="26"/>
                <w:szCs w:val="26"/>
                <w:color w:val="auto"/>
                <w:w w:val="92"/>
                <w:vertAlign w:val="superscript"/>
              </w:rPr>
              <w:t>(2)</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12</w:t>
            </w:r>
          </w:p>
        </w:tc>
        <w:tc>
          <w:tcPr>
            <w:tcW w:w="620" w:type="dxa"/>
            <w:vAlign w:val="bottom"/>
            <w:tcBorders>
              <w:right w:val="single" w:sz="8" w:color="auto"/>
            </w:tcBorders>
          </w:tcPr>
          <w:p>
            <w:pPr>
              <w:spacing w:after="0"/>
              <w:rPr>
                <w:sz w:val="19"/>
                <w:szCs w:val="19"/>
                <w:color w:val="auto"/>
              </w:rPr>
            </w:pPr>
          </w:p>
        </w:tc>
        <w:tc>
          <w:tcPr>
            <w:tcW w:w="1058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IN</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40" w:type="dxa"/>
            <w:vAlign w:val="bottom"/>
            <w:tcBorders>
              <w:left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80" w:type="dxa"/>
            <w:vAlign w:val="bottom"/>
          </w:tcPr>
          <w:p>
            <w:pPr>
              <w:jc w:val="center"/>
              <w:ind w:right="2764"/>
              <w:spacing w:after="0"/>
              <w:rPr>
                <w:sz w:val="20"/>
                <w:szCs w:val="20"/>
                <w:color w:val="auto"/>
              </w:rPr>
            </w:pPr>
            <w:r>
              <w:rPr>
                <w:rFonts w:ascii="Arial" w:cs="Arial" w:eastAsia="Arial" w:hAnsi="Arial"/>
                <w:sz w:val="19"/>
                <w:szCs w:val="19"/>
                <w:color w:val="auto"/>
                <w:w w:val="90"/>
              </w:rPr>
              <w:t>Page 2 of 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5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0" w:type="dxa"/>
            <w:vAlign w:val="bottom"/>
            <w:tcBorders>
              <w:right w:val="single" w:sz="8" w:color="auto"/>
            </w:tcBorders>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858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5" w:right="199" w:bottom="1440" w:gutter="0" w:footer="0" w:header="0"/>
        </w:sectPr>
      </w:pPr>
    </w:p>
    <w:bookmarkStart w:id="2" w:name="page3"/>
    <w:bookmarkEnd w:id="2"/>
    <w:p>
      <w:pPr>
        <w:jc w:val="both"/>
        <w:ind w:left="4" w:hanging="4"/>
        <w:spacing w:after="0" w:line="249" w:lineRule="auto"/>
        <w:tabs>
          <w:tab w:leader="none" w:pos="436"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This Schedule 13G is filed by Harvey L. Poppel on behalf of Harvey L. Poppel, Harvey L. Poppel Descendant’s Trust, Harvey L. Poppel IRA, Emily A. Poppel Descendant’s Trust, Lee Poppel IRA, Dr. Clinton S. Poppel, Dr. Clinton S. Poppel 401K Lucas F. Poppel, Alexander J. Poppel, Winston O. Poppel,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09" w:lineRule="exact"/>
        <w:rPr>
          <w:rFonts w:ascii="Arial" w:cs="Arial" w:eastAsia="Arial" w:hAnsi="Arial"/>
          <w:sz w:val="28"/>
          <w:szCs w:val="28"/>
          <w:color w:val="auto"/>
          <w:vertAlign w:val="superscript"/>
        </w:rPr>
      </w:pPr>
    </w:p>
    <w:p>
      <w:pPr>
        <w:ind w:left="464" w:hanging="464"/>
        <w:spacing w:after="0"/>
        <w:tabs>
          <w:tab w:leader="none" w:pos="464"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This percentage is calculated based upon 29,718,867 voting shares of the Issuers common stock outstanding as of December 31, 2016.</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w:t>
      </w:r>
    </w:p>
    <w:p>
      <w:pPr>
        <w:spacing w:after="0" w:line="226" w:lineRule="exact"/>
        <w:rPr>
          <w:sz w:val="20"/>
          <w:szCs w:val="20"/>
          <w:color w:val="auto"/>
        </w:rPr>
      </w:pPr>
    </w:p>
    <w:p>
      <w:pPr>
        <w:ind w:left="584" w:hanging="584"/>
        <w:spacing w:after="0"/>
        <w:tabs>
          <w:tab w:leader="none" w:pos="58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OptimizeRx Corporation</w:t>
      </w:r>
    </w:p>
    <w:p>
      <w:pPr>
        <w:spacing w:after="0" w:line="201" w:lineRule="exact"/>
        <w:rPr>
          <w:rFonts w:ascii="Arial" w:cs="Arial" w:eastAsia="Arial" w:hAnsi="Arial"/>
          <w:sz w:val="16"/>
          <w:szCs w:val="16"/>
          <w:b w:val="1"/>
          <w:bCs w:val="1"/>
          <w:color w:val="auto"/>
        </w:rPr>
      </w:pPr>
    </w:p>
    <w:p>
      <w:pPr>
        <w:ind w:left="584" w:hanging="584"/>
        <w:spacing w:after="0"/>
        <w:tabs>
          <w:tab w:leader="none" w:pos="58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400 Water St. Ste. 200, Rochester, Michigan 48307</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2.</w:t>
      </w:r>
    </w:p>
    <w:p>
      <w:pPr>
        <w:spacing w:after="0" w:line="226" w:lineRule="exact"/>
        <w:rPr>
          <w:sz w:val="20"/>
          <w:szCs w:val="20"/>
          <w:color w:val="auto"/>
        </w:rPr>
      </w:pPr>
    </w:p>
    <w:p>
      <w:pPr>
        <w:ind w:left="564" w:hanging="564"/>
        <w:spacing w:after="0"/>
        <w:tabs>
          <w:tab w:leader="none" w:pos="5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Name of Person Filing: Harvey L. Poppel</w:t>
      </w:r>
    </w:p>
    <w:p>
      <w:pPr>
        <w:spacing w:after="0" w:line="201" w:lineRule="exact"/>
        <w:rPr>
          <w:rFonts w:ascii="Arial" w:cs="Arial" w:eastAsia="Arial" w:hAnsi="Arial"/>
          <w:sz w:val="16"/>
          <w:szCs w:val="16"/>
          <w:b w:val="1"/>
          <w:bCs w:val="1"/>
          <w:color w:val="auto"/>
        </w:rPr>
      </w:pPr>
    </w:p>
    <w:p>
      <w:pPr>
        <w:ind w:left="564" w:hanging="564"/>
        <w:spacing w:after="0"/>
        <w:tabs>
          <w:tab w:leader="none" w:pos="5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Address of Principal Business Office or, if None, Residence: 110 El Mirasol, Palm Beach FL 33480</w:t>
      </w:r>
    </w:p>
    <w:p>
      <w:pPr>
        <w:spacing w:after="0" w:line="201" w:lineRule="exact"/>
        <w:rPr>
          <w:rFonts w:ascii="Arial" w:cs="Arial" w:eastAsia="Arial" w:hAnsi="Arial"/>
          <w:sz w:val="16"/>
          <w:szCs w:val="16"/>
          <w:b w:val="1"/>
          <w:bCs w:val="1"/>
          <w:color w:val="auto"/>
        </w:rPr>
      </w:pPr>
    </w:p>
    <w:p>
      <w:pPr>
        <w:ind w:left="564" w:hanging="564"/>
        <w:spacing w:after="0"/>
        <w:tabs>
          <w:tab w:leader="none" w:pos="5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Citizenship: U.S.</w:t>
      </w:r>
    </w:p>
    <w:p>
      <w:pPr>
        <w:spacing w:after="0" w:line="201" w:lineRule="exact"/>
        <w:rPr>
          <w:rFonts w:ascii="Arial" w:cs="Arial" w:eastAsia="Arial" w:hAnsi="Arial"/>
          <w:sz w:val="16"/>
          <w:szCs w:val="16"/>
          <w:b w:val="1"/>
          <w:bCs w:val="1"/>
          <w:color w:val="auto"/>
        </w:rPr>
      </w:pPr>
    </w:p>
    <w:p>
      <w:pPr>
        <w:ind w:left="564" w:hanging="564"/>
        <w:spacing w:after="0"/>
        <w:tabs>
          <w:tab w:leader="none" w:pos="5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and Class of Securities: </w:t>
      </w:r>
      <w:r>
        <w:rPr>
          <w:rFonts w:ascii="Arial" w:cs="Arial" w:eastAsia="Arial" w:hAnsi="Arial"/>
          <w:sz w:val="16"/>
          <w:szCs w:val="16"/>
          <w:color w:val="auto"/>
        </w:rPr>
        <w:t>Common stock, par value $0.001 per share</w:t>
      </w:r>
    </w:p>
    <w:p>
      <w:pPr>
        <w:spacing w:after="0" w:line="201" w:lineRule="exact"/>
        <w:rPr>
          <w:rFonts w:ascii="Arial" w:cs="Arial" w:eastAsia="Arial" w:hAnsi="Arial"/>
          <w:sz w:val="16"/>
          <w:szCs w:val="16"/>
          <w:b w:val="1"/>
          <w:bCs w:val="1"/>
          <w:color w:val="auto"/>
        </w:rPr>
      </w:pPr>
    </w:p>
    <w:p>
      <w:pPr>
        <w:ind w:left="564" w:hanging="564"/>
        <w:spacing w:after="0"/>
        <w:tabs>
          <w:tab w:leader="none" w:pos="5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68401U105</w:t>
      </w:r>
    </w:p>
    <w:p>
      <w:pPr>
        <w:spacing w:after="0" w:line="226"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If this statement is filed pursuant to §§ 240.13d-1(b) or 240.13d-2(b) or (c), check whether the person filing is a: Not applicable</w:t>
      </w:r>
    </w:p>
    <w:p>
      <w:pPr>
        <w:spacing w:after="0" w:line="230" w:lineRule="exact"/>
        <w:rPr>
          <w:sz w:val="20"/>
          <w:szCs w:val="20"/>
          <w:color w:val="auto"/>
        </w:rPr>
      </w:pPr>
    </w:p>
    <w:p>
      <w:pPr>
        <w:ind w:left="1124" w:hanging="557"/>
        <w:spacing w:after="0"/>
        <w:tabs>
          <w:tab w:leader="none" w:pos="1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Broker or dealer registered under Section 15 of the Act;</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Bank as defined in Section 3(a)(6) of the Act;</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Insurance company as defined in Section 3(a)(19) of the Act;</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Investment company registered under Section 8 of the Investment Company Act of 1940;</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An investment adviser in accordance with Rule 13d-1(b)(1)(ii)(E);</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81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1545" cy="43180"/>
                    </a:xfrm>
                    <a:prstGeom prst="rect">
                      <a:avLst/>
                    </a:prstGeom>
                    <a:noFill/>
                  </pic:spPr>
                </pic:pic>
              </a:graphicData>
            </a:graphic>
          </wp:anchor>
        </w:drawing>
      </w:r>
    </w:p>
    <w:p>
      <w:pPr>
        <w:sectPr>
          <w:pgSz w:w="11900" w:h="16838" w:orient="portrait"/>
          <w:cols w:equalWidth="0" w:num="1">
            <w:col w:w="11424"/>
          </w:cols>
          <w:pgMar w:left="236" w:top="169" w:right="239" w:bottom="1440" w:gutter="0" w:footer="0" w:header="0"/>
        </w:sectPr>
      </w:pPr>
    </w:p>
    <w:bookmarkStart w:id="3" w:name="page4"/>
    <w:bookmarkEnd w:id="3"/>
    <w:p>
      <w:pPr>
        <w:ind w:left="1124" w:hanging="557"/>
        <w:spacing w:after="0"/>
        <w:tabs>
          <w:tab w:leader="none" w:pos="1124" w:val="left"/>
        </w:tabs>
        <w:numPr>
          <w:ilvl w:val="0"/>
          <w:numId w:val="6"/>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An employee benefit plan or endowment fund in accordance with Rule 13d-1(b)(1)(ii)(F);</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6"/>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 parent holding company or control person in accordance with Rule 13d-1(b)(1)(ii)(G);</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6"/>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 savings associations as defined in Section 3(b) of the Federal Deposit Insurance Act (12 U.S.C. 1813);</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6"/>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 church plan that is excluded from the definition of an investment company under section 3(c)(14) of the Investment Company Act of 1940;</w:t>
      </w:r>
    </w:p>
    <w:p>
      <w:pPr>
        <w:spacing w:after="0" w:line="201" w:lineRule="exact"/>
        <w:rPr>
          <w:rFonts w:ascii="Arial" w:cs="Arial" w:eastAsia="Arial" w:hAnsi="Arial"/>
          <w:sz w:val="16"/>
          <w:szCs w:val="16"/>
          <w:color w:val="auto"/>
        </w:rPr>
      </w:pPr>
    </w:p>
    <w:p>
      <w:pPr>
        <w:ind w:left="1124" w:hanging="557"/>
        <w:spacing w:after="0"/>
        <w:tabs>
          <w:tab w:leader="none" w:pos="1124" w:val="left"/>
        </w:tabs>
        <w:numPr>
          <w:ilvl w:val="0"/>
          <w:numId w:val="6"/>
        </w:numPr>
        <w:rPr>
          <w:rFonts w:ascii="Arial" w:cs="Arial" w:eastAsia="Arial" w:hAnsi="Arial"/>
          <w:sz w:val="16"/>
          <w:szCs w:val="16"/>
          <w:color w:val="auto"/>
        </w:rPr>
      </w:pPr>
      <w:r>
        <w:rPr>
          <w:rFonts w:ascii="Arial" w:cs="Arial" w:eastAsia="Arial" w:hAnsi="Arial"/>
          <w:sz w:val="16"/>
          <w:szCs w:val="16"/>
          <w:color w:val="auto"/>
        </w:rPr>
        <w:t>[_]</w:t>
      </w:r>
      <w:r>
        <w:rPr>
          <w:rFonts w:ascii="Arial" w:cs="Arial" w:eastAsia="Arial" w:hAnsi="Arial"/>
          <w:sz w:val="14"/>
          <w:szCs w:val="14"/>
          <w:color w:val="auto"/>
        </w:rPr>
        <w:t>A non-U.S. institution in accordance with Rule 240.13d-1(b)(1)(ii)(J);</w:t>
      </w:r>
    </w:p>
    <w:p>
      <w:pPr>
        <w:spacing w:after="0" w:line="201" w:lineRule="exact"/>
        <w:rPr>
          <w:rFonts w:ascii="Arial" w:cs="Arial" w:eastAsia="Arial" w:hAnsi="Arial"/>
          <w:sz w:val="16"/>
          <w:szCs w:val="16"/>
          <w:color w:val="auto"/>
        </w:rPr>
      </w:pPr>
    </w:p>
    <w:p>
      <w:pPr>
        <w:ind w:left="1704" w:right="20" w:hanging="1137"/>
        <w:spacing w:after="0" w:line="259" w:lineRule="auto"/>
        <w:tabs>
          <w:tab w:leader="none" w:pos="1137" w:val="left"/>
        </w:tabs>
        <w:numPr>
          <w:ilvl w:val="0"/>
          <w:numId w:val="6"/>
        </w:numPr>
        <w:rPr>
          <w:rFonts w:ascii="Arial" w:cs="Arial" w:eastAsia="Arial" w:hAnsi="Arial"/>
          <w:sz w:val="16"/>
          <w:szCs w:val="16"/>
          <w:color w:val="auto"/>
        </w:rPr>
      </w:pPr>
      <w:r>
        <w:rPr>
          <w:rFonts w:ascii="Arial" w:cs="Arial" w:eastAsia="Arial" w:hAnsi="Arial"/>
          <w:sz w:val="16"/>
          <w:szCs w:val="16"/>
          <w:color w:val="auto"/>
        </w:rPr>
        <w:t>[_]Group, in accordance with Rule 240.13d-1(b)(1)(ii)(K). If filing as a non-U.S. institution in accordance with Rule 240.13d-1(b)(1)(ii)(J), please specify the type of institution:</w:t>
      </w:r>
    </w:p>
    <w:p>
      <w:pPr>
        <w:ind w:left="1704"/>
        <w:spacing w:after="0"/>
        <w:rPr>
          <w:rFonts w:ascii="Arial" w:cs="Arial" w:eastAsia="Arial" w:hAnsi="Arial"/>
          <w:sz w:val="16"/>
          <w:szCs w:val="16"/>
          <w:color w:val="auto"/>
        </w:rPr>
      </w:pPr>
      <w:r>
        <w:rPr>
          <w:rFonts w:ascii="Arial" w:cs="Arial" w:eastAsia="Arial" w:hAnsi="Arial"/>
          <w:sz w:val="16"/>
          <w:szCs w:val="16"/>
          <w:color w:val="auto"/>
        </w:rPr>
        <w:t>____</w:t>
      </w:r>
    </w:p>
    <w:p>
      <w:pPr>
        <w:spacing w:after="0" w:line="209"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Ownership</w:t>
      </w:r>
    </w:p>
    <w:p>
      <w:pPr>
        <w:spacing w:after="0" w:line="214" w:lineRule="exact"/>
        <w:rPr>
          <w:sz w:val="20"/>
          <w:szCs w:val="20"/>
          <w:color w:val="auto"/>
        </w:rPr>
      </w:pPr>
    </w:p>
    <w:p>
      <w:pPr>
        <w:ind w:left="564" w:hanging="564"/>
        <w:spacing w:after="0"/>
        <w:tabs>
          <w:tab w:leader="none" w:pos="564"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 xml:space="preserve">Amount Beneficially Owned:   2,569,044 </w:t>
      </w:r>
      <w:r>
        <w:rPr>
          <w:rFonts w:ascii="Arial" w:cs="Arial" w:eastAsia="Arial" w:hAnsi="Arial"/>
          <w:sz w:val="26"/>
          <w:szCs w:val="26"/>
          <w:b w:val="1"/>
          <w:bCs w:val="1"/>
          <w:color w:val="auto"/>
          <w:vertAlign w:val="superscript"/>
        </w:rPr>
        <w:t>(1)</w:t>
      </w:r>
    </w:p>
    <w:p>
      <w:pPr>
        <w:spacing w:after="0" w:line="67" w:lineRule="exact"/>
        <w:rPr>
          <w:rFonts w:ascii="Arial" w:cs="Arial" w:eastAsia="Arial" w:hAnsi="Arial"/>
          <w:sz w:val="32"/>
          <w:szCs w:val="32"/>
          <w:b w:val="1"/>
          <w:bCs w:val="1"/>
          <w:color w:val="auto"/>
          <w:vertAlign w:val="superscript"/>
        </w:rPr>
      </w:pPr>
    </w:p>
    <w:p>
      <w:pPr>
        <w:ind w:left="564" w:hanging="564"/>
        <w:spacing w:after="0" w:line="230" w:lineRule="auto"/>
        <w:tabs>
          <w:tab w:leader="none" w:pos="564" w:val="left"/>
        </w:tabs>
        <w:numPr>
          <w:ilvl w:val="0"/>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 xml:space="preserve">Percent of Class: 8.64 </w:t>
      </w:r>
      <w:r>
        <w:rPr>
          <w:rFonts w:ascii="Arial" w:cs="Arial" w:eastAsia="Arial" w:hAnsi="Arial"/>
          <w:sz w:val="26"/>
          <w:szCs w:val="26"/>
          <w:b w:val="1"/>
          <w:bCs w:val="1"/>
          <w:color w:val="auto"/>
          <w:vertAlign w:val="superscript"/>
        </w:rPr>
        <w:t>(2)</w:t>
      </w:r>
    </w:p>
    <w:p>
      <w:pPr>
        <w:spacing w:after="0" w:line="69" w:lineRule="exact"/>
        <w:rPr>
          <w:rFonts w:ascii="Arial" w:cs="Arial" w:eastAsia="Arial" w:hAnsi="Arial"/>
          <w:sz w:val="32"/>
          <w:szCs w:val="32"/>
          <w:b w:val="1"/>
          <w:bCs w:val="1"/>
          <w:color w:val="auto"/>
          <w:vertAlign w:val="superscript"/>
        </w:rPr>
      </w:pPr>
    </w:p>
    <w:p>
      <w:pPr>
        <w:ind w:left="564" w:hanging="564"/>
        <w:spacing w:after="0"/>
        <w:tabs>
          <w:tab w:leader="none" w:pos="56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Number of shares as to which such person has:</w:t>
      </w:r>
    </w:p>
    <w:p>
      <w:pPr>
        <w:spacing w:after="0" w:line="211" w:lineRule="exact"/>
        <w:rPr>
          <w:rFonts w:ascii="Arial" w:cs="Arial" w:eastAsia="Arial" w:hAnsi="Arial"/>
          <w:sz w:val="16"/>
          <w:szCs w:val="16"/>
          <w:b w:val="1"/>
          <w:bCs w:val="1"/>
          <w:color w:val="auto"/>
        </w:rPr>
      </w:pPr>
    </w:p>
    <w:p>
      <w:pPr>
        <w:ind w:left="1124" w:hanging="557"/>
        <w:spacing w:after="0"/>
        <w:tabs>
          <w:tab w:leader="none" w:pos="1124" w:val="left"/>
        </w:tabs>
        <w:numPr>
          <w:ilvl w:val="1"/>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 xml:space="preserve">Sole power to vote or to direct the vote: 2,569,044 </w:t>
      </w:r>
      <w:r>
        <w:rPr>
          <w:rFonts w:ascii="Arial" w:cs="Arial" w:eastAsia="Arial" w:hAnsi="Arial"/>
          <w:sz w:val="26"/>
          <w:szCs w:val="26"/>
          <w:b w:val="1"/>
          <w:bCs w:val="1"/>
          <w:color w:val="auto"/>
          <w:vertAlign w:val="superscript"/>
        </w:rPr>
        <w:t>(1)</w:t>
      </w:r>
    </w:p>
    <w:p>
      <w:pPr>
        <w:spacing w:after="0" w:line="67" w:lineRule="exact"/>
        <w:rPr>
          <w:rFonts w:ascii="Arial" w:cs="Arial" w:eastAsia="Arial" w:hAnsi="Arial"/>
          <w:sz w:val="32"/>
          <w:szCs w:val="32"/>
          <w:b w:val="1"/>
          <w:bCs w:val="1"/>
          <w:color w:val="auto"/>
          <w:vertAlign w:val="superscript"/>
        </w:rPr>
      </w:pPr>
    </w:p>
    <w:p>
      <w:pPr>
        <w:ind w:left="1124" w:hanging="557"/>
        <w:spacing w:after="0" w:line="230" w:lineRule="auto"/>
        <w:tabs>
          <w:tab w:leader="none" w:pos="1124" w:val="left"/>
        </w:tabs>
        <w:numPr>
          <w:ilvl w:val="1"/>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 xml:space="preserve">Shared power to vote or to direct the vote: 2,569,044 </w:t>
      </w:r>
      <w:r>
        <w:rPr>
          <w:rFonts w:ascii="Arial" w:cs="Arial" w:eastAsia="Arial" w:hAnsi="Arial"/>
          <w:sz w:val="26"/>
          <w:szCs w:val="26"/>
          <w:b w:val="1"/>
          <w:bCs w:val="1"/>
          <w:color w:val="auto"/>
          <w:vertAlign w:val="superscript"/>
        </w:rPr>
        <w:t>(1)</w:t>
      </w:r>
    </w:p>
    <w:p>
      <w:pPr>
        <w:spacing w:after="0" w:line="69" w:lineRule="exact"/>
        <w:rPr>
          <w:rFonts w:ascii="Arial" w:cs="Arial" w:eastAsia="Arial" w:hAnsi="Arial"/>
          <w:sz w:val="32"/>
          <w:szCs w:val="32"/>
          <w:b w:val="1"/>
          <w:bCs w:val="1"/>
          <w:color w:val="auto"/>
          <w:vertAlign w:val="superscript"/>
        </w:rPr>
      </w:pPr>
    </w:p>
    <w:p>
      <w:pPr>
        <w:ind w:left="1124" w:hanging="557"/>
        <w:spacing w:after="0"/>
        <w:tabs>
          <w:tab w:leader="none" w:pos="112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Sole power to dispose or to direct the disposition of:</w:t>
      </w:r>
    </w:p>
    <w:p>
      <w:pPr>
        <w:spacing w:after="0" w:line="187" w:lineRule="exact"/>
        <w:rPr>
          <w:rFonts w:ascii="Arial" w:cs="Arial" w:eastAsia="Arial" w:hAnsi="Arial"/>
          <w:sz w:val="16"/>
          <w:szCs w:val="16"/>
          <w:b w:val="1"/>
          <w:bCs w:val="1"/>
          <w:color w:val="auto"/>
        </w:rPr>
      </w:pPr>
    </w:p>
    <w:p>
      <w:pPr>
        <w:ind w:left="1124" w:hanging="557"/>
        <w:spacing w:after="0"/>
        <w:tabs>
          <w:tab w:leader="none" w:pos="1124" w:val="left"/>
        </w:tabs>
        <w:numPr>
          <w:ilvl w:val="1"/>
          <w:numId w:val="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 xml:space="preserve">Shared power to dispose or to direct the disposition of: 2,569,044 </w:t>
      </w:r>
      <w:r>
        <w:rPr>
          <w:rFonts w:ascii="Arial" w:cs="Arial" w:eastAsia="Arial" w:hAnsi="Arial"/>
          <w:sz w:val="26"/>
          <w:szCs w:val="26"/>
          <w:b w:val="1"/>
          <w:bCs w:val="1"/>
          <w:color w:val="auto"/>
          <w:vertAlign w:val="superscript"/>
        </w:rPr>
        <w:t>(1)</w:t>
      </w:r>
    </w:p>
    <w:p>
      <w:pPr>
        <w:spacing w:after="0" w:line="111" w:lineRule="exact"/>
        <w:rPr>
          <w:sz w:val="20"/>
          <w:szCs w:val="20"/>
          <w:color w:val="auto"/>
        </w:rPr>
      </w:pPr>
    </w:p>
    <w:p>
      <w:pPr>
        <w:jc w:val="both"/>
        <w:ind w:left="4" w:hanging="4"/>
        <w:spacing w:after="0" w:line="223" w:lineRule="auto"/>
        <w:tabs>
          <w:tab w:leader="none" w:pos="509" w:val="left"/>
        </w:tabs>
        <w:numPr>
          <w:ilvl w:val="0"/>
          <w:numId w:val="8"/>
        </w:numPr>
        <w:rPr>
          <w:rFonts w:ascii="Arial" w:cs="Arial" w:eastAsia="Arial" w:hAnsi="Arial"/>
          <w:sz w:val="32"/>
          <w:szCs w:val="32"/>
          <w:b w:val="1"/>
          <w:bCs w:val="1"/>
          <w:color w:val="auto"/>
          <w:vertAlign w:val="superscript"/>
        </w:rPr>
      </w:pPr>
      <w:r>
        <w:rPr>
          <w:rFonts w:ascii="Arial" w:cs="Arial" w:eastAsia="Arial" w:hAnsi="Arial"/>
          <w:sz w:val="19"/>
          <w:szCs w:val="19"/>
          <w:color w:val="auto"/>
        </w:rPr>
        <w:t>This total which includes 2,569,044 common shares held directly by Harvey L. Poppel on behalf of Harvey L. Poppel, Harvey L. Poppel Descendant’s Trust, Harvey L. Poppel IRA, Emily A. Poppel Descendant’s Trust,Lee Poppel IRA, Dr. Clinton S. Poppel, Dr. Clinton S. Poppel 401K Lucas F. Poppel, Alexander J. Poppel, Winston O. Poppel,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13" w:lineRule="exact"/>
        <w:rPr>
          <w:rFonts w:ascii="Arial" w:cs="Arial" w:eastAsia="Arial" w:hAnsi="Arial"/>
          <w:sz w:val="32"/>
          <w:szCs w:val="32"/>
          <w:b w:val="1"/>
          <w:bCs w:val="1"/>
          <w:color w:val="auto"/>
          <w:vertAlign w:val="superscript"/>
        </w:rPr>
      </w:pPr>
    </w:p>
    <w:p>
      <w:pPr>
        <w:ind w:left="464" w:hanging="464"/>
        <w:spacing w:after="0"/>
        <w:tabs>
          <w:tab w:leader="none" w:pos="464" w:val="left"/>
        </w:tabs>
        <w:numPr>
          <w:ilvl w:val="0"/>
          <w:numId w:val="8"/>
        </w:numPr>
        <w:rPr>
          <w:rFonts w:ascii="Arial" w:cs="Arial" w:eastAsia="Arial" w:hAnsi="Arial"/>
          <w:sz w:val="30"/>
          <w:szCs w:val="30"/>
          <w:b w:val="1"/>
          <w:bCs w:val="1"/>
          <w:color w:val="auto"/>
          <w:vertAlign w:val="superscript"/>
        </w:rPr>
      </w:pPr>
      <w:r>
        <w:rPr>
          <w:rFonts w:ascii="Arial" w:cs="Arial" w:eastAsia="Arial" w:hAnsi="Arial"/>
          <w:sz w:val="18"/>
          <w:szCs w:val="18"/>
          <w:color w:val="auto"/>
        </w:rPr>
        <w:t>This percentage is calculated based upon 29,718,867 voting shares of the Issuers common stock outstanding as of December 31, 2016.</w:t>
      </w:r>
    </w:p>
    <w:p>
      <w:pPr>
        <w:spacing w:after="0" w:line="166" w:lineRule="exact"/>
        <w:rPr>
          <w:sz w:val="20"/>
          <w:szCs w:val="20"/>
          <w:color w:val="auto"/>
        </w:rPr>
      </w:pPr>
    </w:p>
    <w:p>
      <w:pPr>
        <w:ind w:left="4"/>
        <w:spacing w:after="0"/>
        <w:tabs>
          <w:tab w:leader="none" w:pos="903"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 Not Applicable</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81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43180"/>
                    </a:xfrm>
                    <a:prstGeom prst="rect">
                      <a:avLst/>
                    </a:prstGeom>
                    <a:noFill/>
                  </pic:spPr>
                </pic:pic>
              </a:graphicData>
            </a:graphic>
          </wp:anchor>
        </w:drawing>
      </w:r>
    </w:p>
    <w:p>
      <w:pPr>
        <w:sectPr>
          <w:pgSz w:w="11900" w:h="16838" w:orient="portrait"/>
          <w:cols w:equalWidth="0" w:num="1">
            <w:col w:w="11444"/>
          </w:cols>
          <w:pgMar w:left="236" w:top="344" w:right="219" w:bottom="1440" w:gutter="0" w:footer="0" w:header="0"/>
        </w:sectPr>
      </w:pPr>
    </w:p>
    <w:bookmarkStart w:id="4" w:name="page5"/>
    <w:bookmarkEnd w:id="4"/>
    <w:p>
      <w:pPr>
        <w:ind w:left="560" w:right="10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 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7.Identification and classification of the subsidiary which acquired the security being reported on by the parent holding company or control person. Not Applicable</w:t>
      </w:r>
    </w:p>
    <w:p>
      <w:pPr>
        <w:spacing w:after="0" w:line="200" w:lineRule="exact"/>
        <w:rPr>
          <w:sz w:val="20"/>
          <w:szCs w:val="20"/>
          <w:color w:val="auto"/>
        </w:rPr>
      </w:pP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 Not Applicable</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Notice of Dissolution of Group. Not Applicable</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Certifications.</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28154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1545" cy="4318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SIGNATURE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/s/ Signature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Name/Title</w:t>
      </w:r>
    </w:p>
    <w:p>
      <w:pPr>
        <w:spacing w:after="0" w:line="191"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281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43180"/>
                    </a:xfrm>
                    <a:prstGeom prst="rect">
                      <a:avLst/>
                    </a:prstGeom>
                    <a:noFill/>
                  </pic:spPr>
                </pic:pic>
              </a:graphicData>
            </a:graphic>
          </wp:anchor>
        </w:drawing>
      </w:r>
    </w:p>
    <w:sectPr>
      <w:pgSz w:w="11900" w:h="16838" w:orient="portrait"/>
      <w:cols w:equalWidth="0" w:num="1">
        <w:col w:w="11440"/>
      </w:cols>
      <w:pgMar w:left="240" w:top="11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2019-12-16T20:12:54Z</dcterms:created>
  <dcterms:modified xsi:type="dcterms:W3CDTF">2019-12-16T20:12:54Z</dcterms:modified>
</cp:coreProperties>
</file>