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16,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380" w:type="dxa"/>
            <w:vAlign w:val="bottom"/>
            <w:gridSpan w:val="3"/>
          </w:tcPr>
          <w:p>
            <w:pPr>
              <w:jc w:val="center"/>
              <w:ind w:right="1840"/>
              <w:spacing w:after="0"/>
              <w:rPr>
                <w:sz w:val="20"/>
                <w:szCs w:val="20"/>
                <w:color w:val="auto"/>
              </w:rPr>
            </w:pPr>
            <w:r>
              <w:rPr>
                <w:rFonts w:ascii="Arial" w:cs="Arial" w:eastAsia="Arial" w:hAnsi="Arial"/>
                <w:sz w:val="18"/>
                <w:szCs w:val="18"/>
                <w:color w:val="auto"/>
                <w:w w:val="86"/>
              </w:rPr>
              <w:t>Nevada</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001-38543</w:t>
            </w:r>
          </w:p>
        </w:tc>
        <w:tc>
          <w:tcPr>
            <w:tcW w:w="1280" w:type="dxa"/>
            <w:vAlign w:val="bottom"/>
          </w:tcPr>
          <w:p>
            <w:pPr>
              <w:spacing w:after="0"/>
              <w:rPr>
                <w:sz w:val="17"/>
                <w:szCs w:val="17"/>
                <w:color w:val="auto"/>
              </w:rPr>
            </w:pPr>
          </w:p>
        </w:tc>
        <w:tc>
          <w:tcPr>
            <w:tcW w:w="328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80" w:type="dxa"/>
            <w:vAlign w:val="bottom"/>
            <w:gridSpan w:val="4"/>
          </w:tcPr>
          <w:p>
            <w:pPr>
              <w:jc w:val="center"/>
              <w:ind w:right="520"/>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gridSpan w:val="4"/>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280" w:type="dxa"/>
            <w:vAlign w:val="bottom"/>
            <w:gridSpan w:val="5"/>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391"/>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60" w:type="dxa"/>
            <w:vAlign w:val="bottom"/>
            <w:gridSpan w:val="6"/>
          </w:tcPr>
          <w:p>
            <w:pPr>
              <w:jc w:val="center"/>
              <w:ind w:right="2080"/>
              <w:spacing w:after="0"/>
              <w:rPr>
                <w:sz w:val="20"/>
                <w:szCs w:val="20"/>
                <w:color w:val="auto"/>
              </w:rPr>
            </w:pPr>
            <w:r>
              <w:rPr>
                <w:rFonts w:ascii="Arial" w:cs="Arial" w:eastAsia="Arial" w:hAnsi="Arial"/>
                <w:sz w:val="18"/>
                <w:szCs w:val="18"/>
                <w:color w:val="auto"/>
                <w:w w:val="89"/>
              </w:rPr>
              <w:t>400 Water Street, Suite 200, Rochester, MI</w:t>
            </w:r>
          </w:p>
        </w:tc>
        <w:tc>
          <w:tcPr>
            <w:tcW w:w="2400" w:type="dxa"/>
            <w:vAlign w:val="bottom"/>
            <w:gridSpan w:val="4"/>
          </w:tcPr>
          <w:p>
            <w:pPr>
              <w:jc w:val="right"/>
              <w:ind w:right="18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80" w:type="dxa"/>
            <w:vAlign w:val="bottom"/>
            <w:gridSpan w:val="3"/>
          </w:tcPr>
          <w:p>
            <w:pPr>
              <w:spacing w:after="0"/>
              <w:rPr>
                <w:sz w:val="20"/>
                <w:szCs w:val="20"/>
                <w:color w:val="auto"/>
              </w:rPr>
            </w:pPr>
          </w:p>
        </w:tc>
        <w:tc>
          <w:tcPr>
            <w:tcW w:w="1540" w:type="dxa"/>
            <w:vAlign w:val="bottom"/>
          </w:tcPr>
          <w:p>
            <w:pPr>
              <w:spacing w:after="0"/>
              <w:rPr>
                <w:sz w:val="20"/>
                <w:szCs w:val="20"/>
                <w:color w:val="auto"/>
              </w:rPr>
            </w:pPr>
          </w:p>
        </w:tc>
        <w:tc>
          <w:tcPr>
            <w:tcW w:w="174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20" w:hanging="61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3"/>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February 16, 2021, we issued a press release announcing our invitation to present at the SVB Leerink 10th Annual Global Healthcare Conference being held virtually on February 22-26, 2021. A copy of the press release is attached as Exhibit 99.1 to this Current Report on Form 8-K.</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165735</wp:posOffset>
            </wp:positionV>
            <wp:extent cx="3291840" cy="745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184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the SVB Leerink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Annual Global Healthcare Conference on February 25, 2021</w:t>
      </w:r>
    </w:p>
    <w:p>
      <w:pPr>
        <w:spacing w:after="0" w:line="135" w:lineRule="exact"/>
        <w:rPr>
          <w:sz w:val="20"/>
          <w:szCs w:val="20"/>
          <w:color w:val="auto"/>
        </w:rPr>
      </w:pPr>
    </w:p>
    <w:p>
      <w:pPr>
        <w:jc w:val="both"/>
        <w:ind w:right="420"/>
        <w:spacing w:after="0" w:line="226" w:lineRule="auto"/>
        <w:rPr>
          <w:sz w:val="20"/>
          <w:szCs w:val="20"/>
          <w:color w:val="auto"/>
        </w:rPr>
      </w:pPr>
      <w:r>
        <w:rPr>
          <w:rFonts w:ascii="Arial" w:cs="Arial" w:eastAsia="Arial" w:hAnsi="Arial"/>
          <w:sz w:val="18"/>
          <w:szCs w:val="18"/>
          <w:b w:val="1"/>
          <w:bCs w:val="1"/>
          <w:color w:val="auto"/>
        </w:rPr>
        <w:t xml:space="preserve">ROCHESTER, Mich., February 16, 2021 – </w:t>
      </w:r>
      <w:r>
        <w:rPr>
          <w:rFonts w:ascii="Arial" w:cs="Arial" w:eastAsia="Arial" w:hAnsi="Arial"/>
          <w:sz w:val="18"/>
          <w:szCs w:val="18"/>
          <w:color w:val="auto"/>
        </w:rPr>
        <w:t>OptimizeRx Corporation (Nasdaq: OPRX),</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a leading provider of digital health solutions for life science</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companies, physicians and patients, </w:t>
      </w:r>
      <w:r>
        <w:rPr>
          <w:rFonts w:ascii="Arial" w:cs="Arial" w:eastAsia="Arial" w:hAnsi="Arial"/>
          <w:sz w:val="18"/>
          <w:szCs w:val="18"/>
          <w:color w:val="auto"/>
        </w:rPr>
        <w:t>has been invited to present at the SVB Leerink 10</w:t>
      </w:r>
      <w:r>
        <w:rPr>
          <w:rFonts w:ascii="Arial" w:cs="Arial" w:eastAsia="Arial" w:hAnsi="Arial"/>
          <w:sz w:val="29"/>
          <w:szCs w:val="29"/>
          <w:color w:val="auto"/>
          <w:vertAlign w:val="superscript"/>
        </w:rPr>
        <w:t>th</w:t>
      </w:r>
      <w:r>
        <w:rPr>
          <w:rFonts w:ascii="Arial" w:cs="Arial" w:eastAsia="Arial" w:hAnsi="Arial"/>
          <w:sz w:val="18"/>
          <w:szCs w:val="18"/>
          <w:color w:val="auto"/>
          <w:highlight w:val="white"/>
        </w:rPr>
        <w:t xml:space="preserve"> </w:t>
      </w:r>
      <w:r>
        <w:rPr>
          <w:rFonts w:ascii="Arial" w:cs="Arial" w:eastAsia="Arial" w:hAnsi="Arial"/>
          <w:sz w:val="18"/>
          <w:szCs w:val="18"/>
          <w:color w:val="auto"/>
        </w:rPr>
        <w:t>Annual Global Healthcare Conference being held virtually on</w:t>
      </w:r>
      <w:r>
        <w:rPr>
          <w:rFonts w:ascii="Arial" w:cs="Arial" w:eastAsia="Arial" w:hAnsi="Arial"/>
          <w:sz w:val="18"/>
          <w:szCs w:val="18"/>
          <w:color w:val="auto"/>
          <w:highlight w:val="white"/>
        </w:rPr>
        <w:t xml:space="preserve"> </w:t>
      </w:r>
      <w:r>
        <w:rPr>
          <w:rFonts w:ascii="Arial" w:cs="Arial" w:eastAsia="Arial" w:hAnsi="Arial"/>
          <w:sz w:val="18"/>
          <w:szCs w:val="18"/>
          <w:color w:val="auto"/>
        </w:rPr>
        <w:t>February 22-26, 2021.</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OptimizeRx CEO, William Febbo, is scheduled to present on Thursday, February 25, at 5:00 p.m. Eastern time and will participate in virtual one-on-one meetings with institutional analysts and investors throughout the conference.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will be webcast live and available for replay here and via the investor relations section of the company’s website at www.optimizerx.com.</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will discuss the company’s recently reported record preliminary results for the fourth quarter and full year 2020. The company expects fourth quarter 2020 revenue up 117% to record $16 million, driving full year revenue up 75% to record $43 million.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record preliminary results are largely driven by life science companies increasingly using the company’s nationwide digital health network to engage providers and patients at key touchpoints along the care journey.</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Register for the conference here. To schedule a one-on-one meeting, please contact your SVB Leerink representative. For any questions about OptimizeRx, please contact Ron Both of CMA at (949) 432-7557 or submit your request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SVB Leerink</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SVB Leerink is a leading investment bank, specializing in healthcare and life sciences. The firm’s knowledge, experience and focus enable it to help its clients define and achieve their strategic, capital markets and investment objectives. SVB Leerink partners with companies that develop and commercialize innovative products and services that are defining the future of healthcare. SVB Leerink LLC is a member of SVB Financial Group and is a member of FINRA/SIPC. For more information, visit www.svbleerink.com.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information contained in this press release includes “forward-looking statements” within the meaning of The Private Securities Litigation Reform Act of 1995, including statements related to the gross proceeds we expect to receive from the offering, the expected use of the net proceeds from the offering and the expected date of the closing of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preliminary prospectus supplement filed with the Securities and Exchange Commission (SEC) on February 8, 2021 under the heading “Risk Factors” and those documents incorporated by reference therein, which includes our Annual Report on Form 10-K filed with the SEC on March 26, 2020.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2021-02-16T16:16:31Z</dcterms:created>
  <dcterms:modified xsi:type="dcterms:W3CDTF">2021-02-16T16:16:31Z</dcterms:modified>
</cp:coreProperties>
</file>