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8, 2022</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OptimizeRx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9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001-38543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3"/>
          </w:tcPr>
          <w:p>
            <w:pPr>
              <w:jc w:val="center"/>
              <w:ind w:right="6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5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400 Water Street, Suite 200, Rochester, MI</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48307</w:t>
            </w:r>
          </w:p>
        </w:tc>
      </w:tr>
      <w:tr>
        <w:trPr>
          <w:trHeight w:val="234"/>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8, 2022, OptimizeRx Corporation issued a press release announcing its financial results for the third quarter ended September 30, 2022. A copy of the press release is furnished with this Current Report on Form 8-K as Exhibit 99.1 and is incorporated herein by reference.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394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Edward Stelmakh</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156845</wp:posOffset>
            </wp:positionV>
            <wp:extent cx="261429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429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Reports Third Quarter 2022 Financial Results</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Q3 Revenue of $15.1 million, down 6% year-over-year and up 8% quarter-over-quarter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4% year-over-year to $9.4 million as gross margins increased from 56% to 62%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$7.9 million in cash flow from operations during the first nine months of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1.1 million shares - year to date - at an average price of $16.70 per share</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November 8, 2022 – </w:t>
      </w:r>
      <w:r>
        <w:rPr>
          <w:rFonts w:ascii="Times New Roman" w:cs="Times New Roman" w:eastAsia="Times New Roman" w:hAnsi="Times New Roman"/>
          <w:sz w:val="18"/>
          <w:szCs w:val="18"/>
          <w:color w:val="auto"/>
        </w:rPr>
        <w:t>OptimizeRx Corp. (the “Company”) (Nasdaq: OPRX), a leading provider of point-of-care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helping patients start and stay on therapy, reported results for the three months ended September 30, 2022. Quarterly comparisons are to the same year-ago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Rolling Twelve Months Ended</w:t>
            </w:r>
          </w:p>
        </w:tc>
      </w:tr>
      <w:tr>
        <w:trPr>
          <w:trHeight w:val="245"/>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 per top 20 pharmaceutical manufacturer</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2,188,300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2,516,515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average full-time employee</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618,711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740,728</w:t>
            </w: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Will Febbo, OptimizeRx CEO commented, “We are seeing significant momentum off the mid-year trough, and are confident that we are gaining traction across our business in particular with our Real World Evidence (RWE) solutions. RWE is an important growth driver, and we believe it aligns well with digital trends across the life sciences industry including pharma manufacturers moving a greater percentage of their commercial spend towards omni-channel digital solutions. We believe smarter solutions - such as OptimizeRx’s RWE - will capture the lion’s share of the pharma legacy commercial dollars that are reallocated to digital. We believe executing on just the RWE opportunities we have in front of us today could position us to grow our topline by over 20%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third quarter of 2022 decreased 6% to $15.1 million, from $16.1 million as compared to the same year ago period.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third quarter of 2022 increased 4% year-over-year to $9.4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totaled $3.5 million or $(0.19) per basic and diluted share in the third quarter.</w:t>
      </w:r>
    </w:p>
    <w:p>
      <w:pPr>
        <w:spacing w:after="0" w:line="225" w:lineRule="exact"/>
        <w:rPr>
          <w:rFonts w:ascii="Times New Roman" w:cs="Times New Roman" w:eastAsia="Times New Roman" w:hAnsi="Times New Roman"/>
          <w:sz w:val="18"/>
          <w:szCs w:val="18"/>
          <w:color w:val="auto"/>
        </w:rPr>
      </w:pPr>
    </w:p>
    <w:p>
      <w:pPr>
        <w:ind w:left="340" w:right="6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in the third quarter totaled $1.3 million or $0.07 per fully diluted shares outstanding. (see definition of this non-GAAP measure and reconciliation to GAAP, below).</w:t>
      </w:r>
    </w:p>
    <w:p>
      <w:pPr>
        <w:spacing w:after="0" w:line="161"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totaled $78.8 million as of September 30, 2022 as compared to $84.7 million as of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Financial 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third quarter results, the Company is reiterating its full year financial outlook for 2022 for net revenue to be between $62 million and $68 million, representing year-over-year growth of 1% to 11%, respectively, and gross margins to be between 59% and 62%.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will host the presentation, followed by a question-and-answer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Tuesday, November 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 access: https://viavid.webcasts.com/starthere.jsp?ei=1577818&amp;tp_key=c51f87e696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dial-in number: 1-888-999-3182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1-848-280-6330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8072033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call the conference telephone number five minutes prior to the start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remain available for 12 months via the Investors section of the OptimizeRx website at www.optimizerx.com/investors.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and non-GAAP net income per diluted share or non-GAAP EPS, both of which are non-GAAP financial measures.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defines non-GAAP net income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diluted basis. The Company has provided non-GAAP financial measures to aid investors in better understanding its performance. Management believes that these non-GAAP financial measures provide additional insight into the operations and cash flow of the Company.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non-GAAP net income and non-GAAP EPS measures may not provide information that is directly comparable to that provided by other companies in the Company’s industry, as other companies in the industry may calculate such non-GAAP financial results differently. The Company’s non-GAAP net income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below, provides a reconciliation of non-GAAP net income and non-GAAP EPS for the three months ended September 30,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Key Performance Indicators*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Top 20 pharmaceutical manufacturers: </w:t>
      </w:r>
      <w:r>
        <w:rPr>
          <w:rFonts w:ascii="Times New Roman" w:cs="Times New Roman" w:eastAsia="Times New Roman" w:hAnsi="Times New Roman"/>
          <w:sz w:val="18"/>
          <w:szCs w:val="18"/>
          <w:color w:val="auto"/>
        </w:rPr>
        <w:t>Top 20 pharmaceutical manufacturers are based on Fierce Pharma’s “The top 20 pharma companies by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Net revenue retention</w:t>
      </w:r>
      <w:r>
        <w:rPr>
          <w:rFonts w:ascii="Times New Roman" w:cs="Times New Roman" w:eastAsia="Times New Roman" w:hAnsi="Times New Roman"/>
          <w:sz w:val="18"/>
          <w:szCs w:val="18"/>
          <w:color w:val="auto"/>
        </w:rPr>
        <w:t>: Net revenue retention is a comparison of revenue generated from all clients in the previous period to total revenue generated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clients in the following year (i.e., excludes new client relationships for the most recent year).</w:t>
      </w:r>
    </w:p>
    <w:p>
      <w:pPr>
        <w:spacing w:after="0" w:line="15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 Time Employee: </w:t>
      </w:r>
      <w:r>
        <w:rPr>
          <w:rFonts w:ascii="Times New Roman" w:cs="Times New Roman" w:eastAsia="Times New Roman" w:hAnsi="Times New Roman"/>
          <w:sz w:val="18"/>
          <w:szCs w:val="18"/>
          <w:color w:val="auto"/>
        </w:rPr>
        <w:t>We define revenue per average full-time employee (FTE) as total revenue over the last 12 months (LTM)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LTM, which is calculated by taking our total number of FTEs at the end of the prior year period by our total FTE headcount at the end of the most recent.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OptimizeRx provides best-in-class health technology that enables care-focused engagement between life sciences organizations, healthcare providers, and patients at critical junctures throughout the patient care journey. Connecting over 60% of U.S. healthcare providers and millions of their patients through the most intelligent technology platform embedded within a proprietary digital point-of-care network, OptimizeRx helps patients start and stay on their medications.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2021, its subsequent Quarterly Reports on Form 10-Q, and its other filings with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Robinson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arr@lifesciadvisors.com</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0"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868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41,329,020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84,681,770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37,468,889</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17,813,708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24,800,585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2,722,987</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5,630,655</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99,334,604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115,113,010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144,084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143,818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22,673,820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14,740,031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13,452,893</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10,646,654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255,161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328,820</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12,859</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12,859</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36,394,733</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25,728,364</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135,873,421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140,985,192</w:t>
            </w:r>
          </w:p>
        </w:tc>
        <w:tc>
          <w:tcPr>
            <w:tcW w:w="80" w:type="dxa"/>
            <w:vAlign w:val="bottom"/>
            <w:shd w:val="clear" w:color="auto" w:fill="CCEEFF"/>
          </w:tcPr>
          <w:p>
            <w:pPr>
              <w:spacing w:after="0"/>
              <w:rPr>
                <w:sz w:val="21"/>
                <w:szCs w:val="2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1,000,625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606,808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1,699,558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2,902,836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share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2,673,622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4,378,216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87,448</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90,982</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673,214</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1,389,907</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6,134,467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9,368,749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166,751</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236,726</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6,301,218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9,605,475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Commitments and contingencies (See note 10)</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September 30,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18,261,239 issued at September 30, 2022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17,860,975 shares issued and outstanding at December 31, 2021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18,261</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175,920,910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166,615,514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(46,366,262)</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(35,253,658)</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129,572,203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131,379,717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135,873,421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140,985,192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1"/>
                <w:szCs w:val="21"/>
                <w:color w:val="auto"/>
              </w:rPr>
            </w:pPr>
          </w:p>
        </w:tc>
        <w:tc>
          <w:tcPr>
            <w:tcW w:w="238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15,085,504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16,124,951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42,795,699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40,979,801</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5,664,733</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7,047,832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16,283,307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17,733,400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9,420,771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9,077,119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26,512,392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23,246,401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wages, &amp; benefits</w:t>
            </w: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5,088,955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4,619,320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15,376,370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12,106,933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4,277,241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1,008,007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11,476,662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2,612,198</w:t>
            </w:r>
          </w:p>
        </w:tc>
        <w:tc>
          <w:tcPr>
            <w:tcW w:w="0" w:type="dxa"/>
            <w:vAlign w:val="bottom"/>
          </w:tcPr>
          <w:p>
            <w:pPr>
              <w:spacing w:after="0"/>
              <w:rPr>
                <w:sz w:val="1"/>
                <w:szCs w:val="1"/>
                <w:color w:val="auto"/>
              </w:rPr>
            </w:pPr>
          </w:p>
        </w:tc>
      </w:tr>
      <w:tr>
        <w:trPr>
          <w:trHeight w:val="237"/>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8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3,811,334</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3,411,602</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11,085,750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8,787,250</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13,177,530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9,038,929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37,938,782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23,506,381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(3,756,759)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38,190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(11,426,390)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(259,980)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289,967</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313,786</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14,597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(3,466,792)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(11,112,604)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Pr>
          <w:p>
            <w:pPr>
              <w:spacing w:after="0"/>
              <w:rPr>
                <w:sz w:val="19"/>
                <w:szCs w:val="19"/>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(3,466,792</w:t>
            </w:r>
          </w:p>
        </w:tc>
        <w:tc>
          <w:tcPr>
            <w:tcW w:w="2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(11,112,604</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17,981,184</w:t>
            </w:r>
          </w:p>
        </w:tc>
        <w:tc>
          <w:tcPr>
            <w:tcW w:w="2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17,639,346</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17,994,288</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17,028,762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17,981,184</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18,198,412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17,994,288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17,028,762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per share – basic</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Income (loss) per share – diluted</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(11,112,604)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1,565,484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1,580,173</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11,476,662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2,362,113</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issued for board service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250,085</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loss on accounts receivable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132,727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6,854,150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(2,921,824)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2,199,333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1,891,900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393,817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153,395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(1,704,593)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(1,078,777)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(1,237,839)</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(53,710)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(716,693)</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62,610</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7,850,594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(64,667)</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EvinceMed acquisition</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(37,468,889)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 including intellectual property rights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(158,321)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(324,413)</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(39,691,877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(386,978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ind w:left="180" w:right="2780" w:hanging="179"/>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CASH FLOWS PROVIDED BY FINANCING ACTIVITIES: </w:t>
      </w:r>
      <w:r>
        <w:rPr>
          <w:rFonts w:ascii="Times New Roman" w:cs="Times New Roman" w:eastAsia="Times New Roman" w:hAnsi="Times New Roman"/>
          <w:sz w:val="18"/>
          <w:szCs w:val="18"/>
          <w:color w:val="auto"/>
        </w:rPr>
        <w:t>Proceeds from public offering of common stock, net of offering costs 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right="2600"/>
        <w:spacing w:after="0" w:line="281" w:lineRule="auto"/>
        <w:rPr>
          <w:sz w:val="20"/>
          <w:szCs w:val="20"/>
          <w:color w:val="auto"/>
        </w:rPr>
      </w:pPr>
      <w:r>
        <w:rPr>
          <w:rFonts w:ascii="Times New Roman" w:cs="Times New Roman" w:eastAsia="Times New Roman" w:hAnsi="Times New Roman"/>
          <w:sz w:val="17"/>
          <w:szCs w:val="17"/>
          <w:color w:val="auto"/>
        </w:rPr>
        <w:t>NET (DECREASE) INCREASE IN CASH AND CASH EQUIVALENTS 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—70,671,536</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(12,561,571)—</w:t>
      </w:r>
    </w:p>
    <w:p>
      <w:pPr>
        <w:spacing w:after="0" w:line="9" w:lineRule="exact"/>
        <w:rPr>
          <w:sz w:val="20"/>
          <w:szCs w:val="20"/>
          <w:color w:val="auto"/>
        </w:rPr>
      </w:pPr>
    </w:p>
    <w:p>
      <w:pPr>
        <w:ind w:left="400"/>
        <w:spacing w:after="0"/>
        <w:tabs>
          <w:tab w:leader="none" w:pos="1720" w:val="left"/>
        </w:tabs>
        <w:rPr>
          <w:sz w:val="20"/>
          <w:szCs w:val="20"/>
          <w:color w:val="auto"/>
        </w:rPr>
      </w:pPr>
      <w:r>
        <w:rPr>
          <w:rFonts w:ascii="Times New Roman" w:cs="Times New Roman" w:eastAsia="Times New Roman" w:hAnsi="Times New Roman"/>
          <w:sz w:val="18"/>
          <w:szCs w:val="18"/>
          <w:color w:val="auto"/>
        </w:rPr>
        <w:t>1,050,104</w:t>
      </w:r>
      <w:r>
        <w:rPr>
          <w:sz w:val="20"/>
          <w:szCs w:val="20"/>
          <w:color w:val="auto"/>
        </w:rPr>
        <w:tab/>
      </w:r>
      <w:r>
        <w:rPr>
          <w:rFonts w:ascii="Times New Roman" w:cs="Times New Roman" w:eastAsia="Times New Roman" w:hAnsi="Times New Roman"/>
          <w:sz w:val="18"/>
          <w:szCs w:val="18"/>
          <w:color w:val="auto"/>
        </w:rPr>
        <w:t>3,805,475</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—(1,610,813)</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(11,511,467)72,866,198</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(43,352,750)74,539,802</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84,681,77010,516,776</w:t>
      </w:r>
    </w:p>
    <w:p>
      <w:pPr>
        <w:spacing w:after="0" w:line="58" w:lineRule="exact"/>
        <w:rPr>
          <w:sz w:val="20"/>
          <w:szCs w:val="20"/>
          <w:color w:val="auto"/>
        </w:rPr>
      </w:pPr>
    </w:p>
    <w:p>
      <w:pPr>
        <w:spacing w:after="0"/>
        <w:tabs>
          <w:tab w:leader="none" w:pos="300" w:val="left"/>
          <w:tab w:leader="none" w:pos="1320" w:val="left"/>
          <w:tab w:leader="none" w:pos="1620" w:val="left"/>
        </w:tabs>
        <w:rPr>
          <w:sz w:val="20"/>
          <w:szCs w:val="20"/>
          <w:color w:val="auto"/>
        </w:rPr>
      </w:pPr>
      <w:r>
        <w:rPr>
          <w:rFonts w:ascii="Times New Roman" w:cs="Times New Roman" w:eastAsia="Times New Roman" w:hAnsi="Times New Roman"/>
          <w:sz w:val="18"/>
          <w:szCs w:val="18"/>
          <w:color w:val="auto"/>
        </w:rPr>
        <w:t>$</w:t>
        <w:tab/>
        <w:t>41,329,020</w:t>
        <w:tab/>
        <w:t>$</w:t>
        <w:tab/>
        <w:t>85,056,578</w:t>
      </w:r>
    </w:p>
    <w:p>
      <w:pPr>
        <w:spacing w:after="0" w:line="27"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Reduction of EvinceMed purchase price for amounts previously paid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708,334</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Shares issued in connection with acquisition</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9,374,455</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680" w:type="dxa"/>
            <w:vAlign w:val="bottom"/>
            <w:vMerge w:val="continue"/>
          </w:tcPr>
          <w:p>
            <w:pPr>
              <w:spacing w:after="0"/>
              <w:rPr>
                <w:sz w:val="20"/>
                <w:szCs w:val="20"/>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Income (Loss) Depreciation and amortization Stock-based compensation Acquisition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(loss)</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7"/>
          <w:szCs w:val="17"/>
          <w:b w:val="1"/>
          <w:bCs w:val="1"/>
          <w:color w:val="auto"/>
        </w:rPr>
        <w:t>RECONCILIATION of NON-GAAP to GAAP FINANCIAL MEASURES</w:t>
      </w:r>
    </w:p>
    <w:p>
      <w:pPr>
        <w:spacing w:after="0" w:line="21"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200" w:type="dxa"/>
        <w:tblCellMar>
          <w:top w:w="0" w:type="dxa"/>
          <w:left w:w="0" w:type="dxa"/>
          <w:bottom w:w="0" w:type="dxa"/>
          <w:right w:w="0" w:type="dxa"/>
        </w:tblCellMar>
      </w:tblPr>
      <w:tr>
        <w:trPr>
          <w:trHeight w:val="216"/>
        </w:trPr>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27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(3,466,792)</w:t>
            </w:r>
          </w:p>
        </w:tc>
        <w:tc>
          <w:tcPr>
            <w:tcW w:w="2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39,894</w:t>
            </w:r>
          </w:p>
        </w:tc>
        <w:tc>
          <w:tcPr>
            <w:tcW w:w="220" w:type="dxa"/>
            <w:vAlign w:val="bottom"/>
          </w:tcPr>
          <w:p>
            <w:pPr>
              <w:spacing w:after="0"/>
              <w:rPr>
                <w:sz w:val="17"/>
                <w:szCs w:val="17"/>
                <w:color w:val="auto"/>
              </w:rPr>
            </w:pP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7"/>
              </w:rPr>
              <w:t>$  (11,112,604)</w:t>
            </w:r>
          </w:p>
        </w:tc>
        <w:tc>
          <w:tcPr>
            <w:tcW w:w="220" w:type="dxa"/>
            <w:vAlign w:val="bottom"/>
          </w:tcPr>
          <w:p>
            <w:pPr>
              <w:spacing w:after="0"/>
              <w:rPr>
                <w:sz w:val="17"/>
                <w:szCs w:val="17"/>
                <w:color w:val="auto"/>
              </w:rPr>
            </w:pP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(245,383)</w:t>
            </w:r>
          </w:p>
        </w:tc>
        <w:tc>
          <w:tcPr>
            <w:tcW w:w="60" w:type="dxa"/>
            <w:vAlign w:val="bottom"/>
            <w:gridSpan w:val="2"/>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515,828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526,035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1,565,484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1,580,173</w:t>
            </w:r>
          </w:p>
        </w:tc>
        <w:tc>
          <w:tcPr>
            <w:tcW w:w="40" w:type="dxa"/>
            <w:vAlign w:val="bottom"/>
          </w:tcPr>
          <w:p>
            <w:pPr>
              <w:spacing w:after="0"/>
              <w:rPr>
                <w:sz w:val="18"/>
                <w:szCs w:val="18"/>
                <w:color w:val="auto"/>
              </w:rPr>
            </w:pPr>
          </w:p>
        </w:tc>
      </w:tr>
      <w:tr>
        <w:trPr>
          <w:trHeight w:val="23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4,277,241</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1,008,007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11,476,662</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2,612,198</w:t>
            </w:r>
          </w:p>
        </w:tc>
        <w:tc>
          <w:tcPr>
            <w:tcW w:w="40" w:type="dxa"/>
            <w:vAlign w:val="bottom"/>
          </w:tcPr>
          <w:p>
            <w:pPr>
              <w:spacing w:after="0"/>
              <w:rPr>
                <w:sz w:val="19"/>
                <w:szCs w:val="19"/>
                <w:color w:val="auto"/>
              </w:rPr>
            </w:pPr>
          </w:p>
        </w:tc>
      </w:tr>
      <w:tr>
        <w:trPr>
          <w:trHeight w:val="234"/>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22,318</w:t>
            </w:r>
          </w:p>
        </w:tc>
        <w:tc>
          <w:tcPr>
            <w:tcW w:w="24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1,326,277</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1,573,936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1,951,860</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3,946,988</w:t>
            </w:r>
          </w:p>
        </w:tc>
        <w:tc>
          <w:tcPr>
            <w:tcW w:w="4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-779145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-496570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-205105</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200" w:space="580"/>
            <w:col w:w="8420"/>
          </w:cols>
          <w:pgMar w:left="320" w:top="900"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Non-GAAP net income (loss)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800" w:val="left"/>
          <w:tab w:leader="none" w:pos="1360" w:val="left"/>
          <w:tab w:leader="none" w:pos="2180" w:val="left"/>
          <w:tab w:leader="none" w:pos="2700" w:val="left"/>
          <w:tab w:leader="none" w:pos="3500" w:val="left"/>
          <w:tab w:leader="none" w:pos="4020" w:val="left"/>
          <w:tab w:leader="none" w:pos="4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0.07</w:t>
        <w:tab/>
        <w:t>$</w:t>
      </w:r>
      <w:r>
        <w:rPr>
          <w:sz w:val="20"/>
          <w:szCs w:val="20"/>
          <w:color w:val="auto"/>
        </w:rPr>
        <w:tab/>
      </w:r>
      <w:r>
        <w:rPr>
          <w:rFonts w:ascii="Times New Roman" w:cs="Times New Roman" w:eastAsia="Times New Roman" w:hAnsi="Times New Roman"/>
          <w:sz w:val="18"/>
          <w:szCs w:val="18"/>
          <w:color w:val="auto"/>
        </w:rPr>
        <w:t>0.09</w:t>
        <w:tab/>
        <w:t>$</w:t>
      </w:r>
      <w:r>
        <w:rPr>
          <w:sz w:val="20"/>
          <w:szCs w:val="20"/>
          <w:color w:val="auto"/>
        </w:rPr>
        <w:tab/>
      </w:r>
      <w:r>
        <w:rPr>
          <w:rFonts w:ascii="Times New Roman" w:cs="Times New Roman" w:eastAsia="Times New Roman" w:hAnsi="Times New Roman"/>
          <w:sz w:val="18"/>
          <w:szCs w:val="18"/>
          <w:color w:val="auto"/>
        </w:rPr>
        <w:t>0.11</w:t>
        <w:tab/>
        <w:t>$</w:t>
      </w:r>
      <w:r>
        <w:rPr>
          <w:sz w:val="20"/>
          <w:szCs w:val="20"/>
          <w:color w:val="auto"/>
        </w:rPr>
        <w:tab/>
      </w:r>
      <w:r>
        <w:rPr>
          <w:rFonts w:ascii="Times New Roman" w:cs="Times New Roman" w:eastAsia="Times New Roman" w:hAnsi="Times New Roman"/>
          <w:sz w:val="18"/>
          <w:szCs w:val="18"/>
          <w:color w:val="auto"/>
        </w:rPr>
        <w:t>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-281940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17145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ind w:left="320"/>
        <w:spacing w:after="0"/>
        <w:tabs>
          <w:tab w:leader="none" w:pos="1680" w:val="left"/>
          <w:tab w:leader="none" w:pos="3000" w:val="left"/>
          <w:tab w:leader="none" w:pos="4320" w:val="left"/>
        </w:tabs>
        <w:rPr>
          <w:sz w:val="20"/>
          <w:szCs w:val="20"/>
          <w:color w:val="auto"/>
        </w:rPr>
      </w:pPr>
      <w:r>
        <w:rPr>
          <w:rFonts w:ascii="Times New Roman" w:cs="Times New Roman" w:eastAsia="Times New Roman" w:hAnsi="Times New Roman"/>
          <w:sz w:val="18"/>
          <w:szCs w:val="18"/>
          <w:color w:val="auto"/>
        </w:rPr>
        <w:t>18,088,406</w:t>
      </w:r>
      <w:r>
        <w:rPr>
          <w:sz w:val="20"/>
          <w:szCs w:val="20"/>
          <w:color w:val="auto"/>
        </w:rPr>
        <w:tab/>
      </w:r>
      <w:r>
        <w:rPr>
          <w:rFonts w:ascii="Times New Roman" w:cs="Times New Roman" w:eastAsia="Times New Roman" w:hAnsi="Times New Roman"/>
          <w:sz w:val="18"/>
          <w:szCs w:val="18"/>
          <w:color w:val="auto"/>
        </w:rPr>
        <w:t>18,198,412</w:t>
      </w:r>
      <w:r>
        <w:rPr>
          <w:sz w:val="20"/>
          <w:szCs w:val="20"/>
          <w:color w:val="auto"/>
        </w:rPr>
        <w:tab/>
      </w:r>
      <w:r>
        <w:rPr>
          <w:rFonts w:ascii="Times New Roman" w:cs="Times New Roman" w:eastAsia="Times New Roman" w:hAnsi="Times New Roman"/>
          <w:sz w:val="18"/>
          <w:szCs w:val="18"/>
          <w:color w:val="auto"/>
        </w:rPr>
        <w:t>18,169,885</w:t>
      </w:r>
      <w:r>
        <w:rPr>
          <w:sz w:val="20"/>
          <w:szCs w:val="20"/>
          <w:color w:val="auto"/>
        </w:rPr>
        <w:tab/>
      </w:r>
      <w:r>
        <w:rPr>
          <w:rFonts w:ascii="Times New Roman" w:cs="Times New Roman" w:eastAsia="Times New Roman" w:hAnsi="Times New Roman"/>
          <w:sz w:val="18"/>
          <w:szCs w:val="18"/>
          <w:color w:val="auto"/>
        </w:rPr>
        <w:t>17,555,593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27469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746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900" w:right="379" w:bottom="1440" w:gutter="0" w:footer="0" w:header="0"/>
          <w:type w:val="continuous"/>
        </w:sect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emdash "/>
      <w:numFmt w:val="bullet"/>
      <w:start w:val="1"/>
    </w:lvl>
  </w:abstractNum>
  <w:abstractNum w:abstractNumId="5">
    <w:nsid w:val="507ED7AB"/>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2022-11-08T15:35:50Z</dcterms:created>
  <dcterms:modified xsi:type="dcterms:W3CDTF">2022-11-08T15:35:50Z</dcterms:modified>
</cp:coreProperties>
</file>