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August 12,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August 12, 2014, we issued a press release announcing the details of our earnings conference call, to be held on Friday August 15, 2014 at 12:00 PM EST.</w:t>
      </w:r>
    </w:p>
    <w:p>
      <w:pPr>
        <w:spacing w:after="0" w:line="2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b w:val="1"/>
          <w:bCs w:val="1"/>
          <w:color w:val="auto"/>
        </w:rPr>
        <w:t>Exhibit</w:t>
        <w:tab/>
        <w:t>Description</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w:t>
      </w:r>
    </w:p>
    <w:p>
      <w:pPr>
        <w:spacing w:after="0" w:line="9"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August 12, 2014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OptimizeRx Corporation announces Q2 2014 Earnings Call Details</w:t>
      </w:r>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ROCHESTER, MI -- (Marketwired) -- 08/12/14 -- OPTIMIZERx Corp. (OTCQB: OPRX) announced that it will hold its Q2 2014 earnings call on Friday, August 15, 2014 at 12:00 pm Eastern Time. The call details 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1(866) 593-0056 or toll: +1(937) 641-0554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Provide Conference ID 87858664 to the operator.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About OptimizeRx Corp</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OPTIMIZERx Corp. (OTCQB: OPRX) provides unique consumer and physician platforms to help patients better afford and comply with their medicines and healthcare products, while offering pharmaceutical and healthcare companies effective ways to expand patient awareness, access and adherence to their medications. For more information, please go to www.optimizerxcorp.com or www.samplemd.com.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Capital Markets Advisor</w:t>
      </w:r>
    </w:p>
    <w:p>
      <w:pPr>
        <w:spacing w:after="0" w:line="219" w:lineRule="auto"/>
        <w:rPr>
          <w:sz w:val="20"/>
          <w:szCs w:val="20"/>
          <w:color w:val="auto"/>
        </w:rPr>
      </w:pPr>
      <w:r>
        <w:rPr>
          <w:rFonts w:ascii="Arial" w:cs="Arial" w:eastAsia="Arial" w:hAnsi="Arial"/>
          <w:sz w:val="18"/>
          <w:szCs w:val="18"/>
          <w:color w:val="auto"/>
        </w:rPr>
        <w:t>Merriman Capital, Inc. *</w:t>
      </w:r>
    </w:p>
    <w:p>
      <w:pPr>
        <w:spacing w:after="0" w:line="219" w:lineRule="auto"/>
        <w:rPr>
          <w:sz w:val="20"/>
          <w:szCs w:val="20"/>
          <w:color w:val="auto"/>
        </w:rPr>
      </w:pPr>
      <w:r>
        <w:rPr>
          <w:rFonts w:ascii="Arial" w:cs="Arial" w:eastAsia="Arial" w:hAnsi="Arial"/>
          <w:sz w:val="18"/>
          <w:szCs w:val="18"/>
          <w:color w:val="auto"/>
        </w:rPr>
        <w:t>Douglas Rogers, Managing Director</w:t>
      </w:r>
    </w:p>
    <w:p>
      <w:pPr>
        <w:spacing w:after="0" w:line="219" w:lineRule="auto"/>
        <w:rPr>
          <w:sz w:val="20"/>
          <w:szCs w:val="20"/>
          <w:color w:val="auto"/>
        </w:rPr>
      </w:pPr>
      <w:r>
        <w:rPr>
          <w:rFonts w:ascii="Arial" w:cs="Arial" w:eastAsia="Arial" w:hAnsi="Arial"/>
          <w:sz w:val="18"/>
          <w:szCs w:val="18"/>
          <w:color w:val="auto"/>
        </w:rPr>
        <w:t>Head of Capital Markets Advisory Group</w:t>
      </w:r>
    </w:p>
    <w:p>
      <w:pPr>
        <w:spacing w:after="0" w:line="219" w:lineRule="auto"/>
        <w:rPr>
          <w:sz w:val="20"/>
          <w:szCs w:val="20"/>
          <w:color w:val="auto"/>
        </w:rPr>
      </w:pPr>
      <w:r>
        <w:rPr>
          <w:rFonts w:ascii="Arial" w:cs="Arial" w:eastAsia="Arial" w:hAnsi="Arial"/>
          <w:sz w:val="18"/>
          <w:szCs w:val="18"/>
          <w:color w:val="auto"/>
        </w:rPr>
        <w:t>drogers@merrimanco.com</w:t>
      </w:r>
    </w:p>
    <w:p>
      <w:pPr>
        <w:spacing w:after="0" w:line="220" w:lineRule="auto"/>
        <w:rPr>
          <w:sz w:val="20"/>
          <w:szCs w:val="20"/>
          <w:color w:val="auto"/>
        </w:rPr>
      </w:pPr>
      <w:r>
        <w:rPr>
          <w:rFonts w:ascii="Arial" w:cs="Arial" w:eastAsia="Arial" w:hAnsi="Arial"/>
          <w:sz w:val="18"/>
          <w:szCs w:val="18"/>
          <w:color w:val="auto"/>
        </w:rPr>
        <w:t>415-248-5612</w:t>
      </w:r>
    </w:p>
    <w:p>
      <w:pPr>
        <w:spacing w:after="0"/>
        <w:rPr>
          <w:sz w:val="20"/>
          <w:szCs w:val="20"/>
          <w:color w:val="auto"/>
        </w:rPr>
      </w:pPr>
      <w:r>
        <w:rPr>
          <w:rFonts w:ascii="Arial" w:cs="Arial" w:eastAsia="Arial" w:hAnsi="Arial"/>
          <w:sz w:val="18"/>
          <w:szCs w:val="18"/>
          <w:color w:val="auto"/>
        </w:rPr>
        <w:t>*Member FINRA / SIPC</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2019-12-07T19:30:56Z</dcterms:created>
  <dcterms:modified xsi:type="dcterms:W3CDTF">2019-12-07T19:30:56Z</dcterms:modified>
</cp:coreProperties>
</file>