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598774.xml.htm"/>
      <w:bookmarkStart w:id="1" w:name="kswkform4_178759877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Odence-Ford Marion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OPTIMIZERX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260 CHARLES STREET, SUITE 302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OptimizeRx Corp</w:t>
              </w:r>
            </w:hyperlink>
            <w:r>
              <w:rPr/>
              <w:t xml:space="preserve"> [ </w:t>
            </w:r>
            <w:r>
              <w:rPr>
                <w:rFonts w:ascii="Times;serif" w:hAnsi="Times;serif"/>
                <w:color w:val="0000FF"/>
                <w:sz w:val="24"/>
                <w:shd w:fill="FFFFFF" w:val="clear"/>
              </w:rPr>
              <w:t>OPRX</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Legal &amp; Admin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08/21/2026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96"/>
        <w:gridCol w:w="461"/>
        <w:gridCol w:w="675"/>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1,529</w:t>
            </w:r>
            <w:r>
              <w:rPr>
                <w:rFonts w:ascii="Times;serif" w:hAnsi="Times;serif"/>
                <w:color w:val="008000"/>
                <w:position w:val="7"/>
                <w:sz w:val="16"/>
                <w:sz w:val="20"/>
                <w:shd w:fill="FFFFFF" w:val="clear"/>
              </w:rPr>
              <w:t>(1)</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7.71</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90,407</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withheld by the Issuer upon the vesting of restricted stock units to satisfy the Reporting Person's tax withholding obligations. Such withholding is treated as a disposition of securities under Section 16 of the Securities Exchange Act of 1934, as amended.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Marion K. Odence-Ford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45002" TargetMode="External"/><Relationship Id="rId5" Type="http://schemas.openxmlformats.org/officeDocument/2006/relationships/hyperlink" Target="http://www.sec.gov/cgi-bin/browse-edgar?action=getcompany&amp;CIK=000144843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672</Words>
  <Characters>3620</Characters>
  <CharactersWithSpaces>4222</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