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340" w:type="dxa"/>
            <w:vAlign w:val="bottom"/>
            <w:tcBorders>
              <w:top w:val="single" w:sz="8" w:color="0000EE"/>
            </w:tcBorders>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02/11/2024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02/11/2024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4,000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15,114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02/11/2024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1,386</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13,728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02/11/2024</w:t>
            </w:r>
          </w:p>
        </w:tc>
        <w:tc>
          <w:tcPr>
            <w:tcW w:w="1100" w:type="dxa"/>
            <w:vAlign w:val="bottom"/>
          </w:tcPr>
          <w:p>
            <w:pPr>
              <w:spacing w:after="0"/>
              <w:rPr>
                <w:sz w:val="11"/>
                <w:szCs w:val="11"/>
                <w:color w:val="auto"/>
              </w:rPr>
            </w:pPr>
          </w:p>
        </w:tc>
        <w:tc>
          <w:tcPr>
            <w:tcW w:w="6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16,000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11, 2021, the reporting person was granted 20,000 restricted stock units, vesting in five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02/13/2024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2024-02-13T17:53:56Z</dcterms:created>
  <dcterms:modified xsi:type="dcterms:W3CDTF">2024-02-13T17:53:56Z</dcterms:modified>
</cp:coreProperties>
</file>