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6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FORM 8-K /A</w:t>
      </w:r>
    </w:p>
    <w:p>
      <w:pPr>
        <w:spacing w:after="0" w:line="200" w:lineRule="exact"/>
        <w:rPr>
          <w:sz w:val="24"/>
          <w:szCs w:val="24"/>
          <w:color w:val="auto"/>
        </w:rPr>
      </w:pPr>
    </w:p>
    <w:p>
      <w:pPr>
        <w:spacing w:after="0" w:line="28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OF THE SECURITIES EXCHANGE ACT 0F 1934</w:t>
      </w:r>
    </w:p>
    <w:p>
      <w:pPr>
        <w:spacing w:after="0" w:line="200" w:lineRule="exact"/>
        <w:rPr>
          <w:sz w:val="24"/>
          <w:szCs w:val="24"/>
          <w:color w:val="auto"/>
        </w:rPr>
      </w:pPr>
    </w:p>
    <w:p>
      <w:pPr>
        <w:spacing w:after="0" w:line="27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Date of Report (Date of Event): July 30, 2010 (July 28, 2010)</w:t>
      </w:r>
    </w:p>
    <w:p>
      <w:pPr>
        <w:spacing w:after="0" w:line="200" w:lineRule="exact"/>
        <w:rPr>
          <w:sz w:val="24"/>
          <w:szCs w:val="24"/>
          <w:color w:val="auto"/>
        </w:rPr>
      </w:pPr>
    </w:p>
    <w:p>
      <w:pPr>
        <w:spacing w:after="0" w:line="29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000-53605</w:t>
      </w:r>
    </w:p>
    <w:p>
      <w:pPr>
        <w:spacing w:after="0" w:line="200" w:lineRule="exact"/>
        <w:rPr>
          <w:sz w:val="24"/>
          <w:szCs w:val="24"/>
          <w:color w:val="auto"/>
        </w:rPr>
      </w:pPr>
    </w:p>
    <w:p>
      <w:pPr>
        <w:spacing w:after="0" w:line="27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u w:val="single" w:color="auto"/>
          <w:color w:val="auto"/>
        </w:rPr>
        <w:t>OPTIMIZERX CORPORATION</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19" w:lineRule="exact"/>
        <w:rPr>
          <w:sz w:val="24"/>
          <w:szCs w:val="24"/>
          <w:color w:val="auto"/>
        </w:rPr>
      </w:pPr>
    </w:p>
    <w:tbl>
      <w:tblPr>
        <w:tblLayout w:type="fixed"/>
        <w:tblInd w:w="2340" w:type="dxa"/>
        <w:tblCellMar>
          <w:top w:w="0" w:type="dxa"/>
          <w:left w:w="0" w:type="dxa"/>
          <w:bottom w:w="0" w:type="dxa"/>
          <w:right w:w="0" w:type="dxa"/>
        </w:tblCellMar>
      </w:tblPr>
      <w:tr>
        <w:trPr>
          <w:trHeight w:val="207"/>
        </w:trPr>
        <w:tc>
          <w:tcPr>
            <w:tcW w:w="1360" w:type="dxa"/>
            <w:vAlign w:val="bottom"/>
          </w:tcPr>
          <w:p>
            <w:pPr>
              <w:spacing w:after="0"/>
              <w:rPr>
                <w:sz w:val="17"/>
                <w:szCs w:val="17"/>
                <w:color w:val="auto"/>
              </w:rPr>
            </w:pPr>
          </w:p>
        </w:tc>
        <w:tc>
          <w:tcPr>
            <w:tcW w:w="2220" w:type="dxa"/>
            <w:vAlign w:val="bottom"/>
            <w:gridSpan w:val="2"/>
          </w:tcPr>
          <w:p>
            <w:pPr>
              <w:jc w:val="center"/>
              <w:ind w:right="1640"/>
              <w:spacing w:after="0"/>
              <w:rPr>
                <w:sz w:val="20"/>
                <w:szCs w:val="20"/>
                <w:color w:val="auto"/>
              </w:rPr>
            </w:pPr>
            <w:r>
              <w:rPr>
                <w:rFonts w:ascii="Arial" w:cs="Arial" w:eastAsia="Arial" w:hAnsi="Arial"/>
                <w:sz w:val="18"/>
                <w:szCs w:val="18"/>
                <w:b w:val="1"/>
                <w:bCs w:val="1"/>
                <w:color w:val="auto"/>
                <w:w w:val="90"/>
              </w:rPr>
              <w:t>Nevada</w:t>
            </w:r>
          </w:p>
        </w:tc>
        <w:tc>
          <w:tcPr>
            <w:tcW w:w="2740" w:type="dxa"/>
            <w:vAlign w:val="bottom"/>
            <w:gridSpan w:val="3"/>
          </w:tcPr>
          <w:p>
            <w:pPr>
              <w:jc w:val="right"/>
              <w:ind w:right="800"/>
              <w:spacing w:after="0"/>
              <w:rPr>
                <w:sz w:val="20"/>
                <w:szCs w:val="20"/>
                <w:color w:val="auto"/>
              </w:rPr>
            </w:pPr>
            <w:r>
              <w:rPr>
                <w:rFonts w:ascii="Arial" w:cs="Arial" w:eastAsia="Arial" w:hAnsi="Arial"/>
                <w:sz w:val="18"/>
                <w:szCs w:val="18"/>
                <w:b w:val="1"/>
                <w:bCs w:val="1"/>
                <w:color w:val="auto"/>
              </w:rPr>
              <w:t>26-1265381</w:t>
            </w:r>
          </w:p>
        </w:tc>
      </w:tr>
      <w:tr>
        <w:trPr>
          <w:trHeight w:val="20"/>
        </w:trPr>
        <w:tc>
          <w:tcPr>
            <w:tcW w:w="13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22"/>
        </w:trPr>
        <w:tc>
          <w:tcPr>
            <w:tcW w:w="3580" w:type="dxa"/>
            <w:vAlign w:val="bottom"/>
            <w:gridSpan w:val="3"/>
          </w:tcPr>
          <w:p>
            <w:pPr>
              <w:jc w:val="center"/>
              <w:ind w:right="280"/>
              <w:spacing w:after="0"/>
              <w:rPr>
                <w:sz w:val="20"/>
                <w:szCs w:val="20"/>
                <w:color w:val="auto"/>
              </w:rPr>
            </w:pPr>
            <w:r>
              <w:rPr>
                <w:rFonts w:ascii="Arial" w:cs="Arial" w:eastAsia="Arial" w:hAnsi="Arial"/>
                <w:sz w:val="18"/>
                <w:szCs w:val="18"/>
                <w:color w:val="auto"/>
                <w:w w:val="92"/>
              </w:rPr>
              <w:t>(State or other jurisdiction of incorporation or</w:t>
            </w:r>
          </w:p>
        </w:tc>
        <w:tc>
          <w:tcPr>
            <w:tcW w:w="2740" w:type="dxa"/>
            <w:vAlign w:val="bottom"/>
            <w:gridSpan w:val="3"/>
          </w:tcPr>
          <w:p>
            <w:pPr>
              <w:jc w:val="center"/>
              <w:ind w:left="17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580" w:type="dxa"/>
            <w:vAlign w:val="bottom"/>
            <w:gridSpan w:val="3"/>
          </w:tcPr>
          <w:p>
            <w:pPr>
              <w:jc w:val="center"/>
              <w:ind w:right="260"/>
              <w:spacing w:after="0"/>
              <w:rPr>
                <w:sz w:val="20"/>
                <w:szCs w:val="20"/>
                <w:color w:val="auto"/>
              </w:rPr>
            </w:pPr>
            <w:r>
              <w:rPr>
                <w:rFonts w:ascii="Arial" w:cs="Arial" w:eastAsia="Arial" w:hAnsi="Arial"/>
                <w:sz w:val="18"/>
                <w:szCs w:val="18"/>
                <w:color w:val="auto"/>
                <w:w w:val="92"/>
              </w:rPr>
              <w:t>organization)</w:t>
            </w:r>
          </w:p>
        </w:tc>
        <w:tc>
          <w:tcPr>
            <w:tcW w:w="10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407 Sixth Street, Rochester, MI 48307</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3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(248) 651-6558</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(Registrant’s telephone number, including area code)</w:t>
      </w:r>
    </w:p>
    <w:p>
      <w:pPr>
        <w:spacing w:after="0" w:line="238"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97" w:lineRule="exact"/>
        <w:rPr>
          <w:sz w:val="24"/>
          <w:szCs w:val="24"/>
          <w:color w:val="auto"/>
        </w:rPr>
      </w:pPr>
    </w:p>
    <w:p>
      <w:pPr>
        <w:ind w:left="200" w:hanging="192"/>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200" w:hanging="192"/>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200" w:hanging="192"/>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200" w:hanging="192"/>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3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EXPLANATORY NOTE</w:t>
      </w:r>
    </w:p>
    <w:p>
      <w:pPr>
        <w:spacing w:after="0" w:line="256" w:lineRule="exact"/>
        <w:rPr>
          <w:sz w:val="24"/>
          <w:szCs w:val="24"/>
          <w:color w:val="auto"/>
        </w:rPr>
      </w:pPr>
    </w:p>
    <w:p>
      <w:pPr>
        <w:spacing w:after="0" w:line="259" w:lineRule="auto"/>
        <w:rPr>
          <w:sz w:val="20"/>
          <w:szCs w:val="20"/>
          <w:color w:val="auto"/>
        </w:rPr>
      </w:pPr>
      <w:r>
        <w:rPr>
          <w:rFonts w:ascii="Arial" w:cs="Arial" w:eastAsia="Arial" w:hAnsi="Arial"/>
          <w:sz w:val="18"/>
          <w:szCs w:val="18"/>
          <w:color w:val="auto"/>
        </w:rPr>
        <w:t>The purpose of this Amendment No.2 to the Current Report on Form 8-K, previously filed with the United States Securities and Exchange Commission on July 30, 2010, and amended on October 12, 2010, is to remove disclosure that previously and inaccurately stated that Mr. Shad Stastney holds investment and dispositive power over the shares and warrants held by Vicis Capital Master Fund and to clarify the nature and extent of the beneficial ownership of shares of the Company's common stock by Vicis Capital Master Fund and Vicis Capital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460375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715" w:right="279" w:bottom="1440" w:gutter="0" w:footer="0" w:header="0"/>
        </w:sectPr>
      </w:pPr>
    </w:p>
    <w:bookmarkStart w:id="1" w:name="page2"/>
    <w:bookmarkEnd w:id="1"/>
    <w:p>
      <w:pPr>
        <w:spacing w:after="0"/>
        <w:tabs>
          <w:tab w:leader="none" w:pos="1060" w:val="left"/>
        </w:tabs>
        <w:rPr>
          <w:sz w:val="20"/>
          <w:szCs w:val="20"/>
          <w:color w:val="auto"/>
        </w:rPr>
      </w:pPr>
      <w:r>
        <w:rPr>
          <w:rFonts w:ascii="Arial" w:cs="Arial" w:eastAsia="Arial" w:hAnsi="Arial"/>
          <w:sz w:val="18"/>
          <w:szCs w:val="18"/>
          <w:b w:val="1"/>
          <w:bCs w:val="1"/>
          <w:color w:val="auto"/>
        </w:rPr>
        <w:t>ITEM 1.01</w:t>
        <w:tab/>
        <w:t>ENTRY INTO A MATERIAL DEFINITIVE AGREEMENT.</w:t>
      </w:r>
    </w:p>
    <w:p>
      <w:pPr>
        <w:spacing w:after="0" w:line="256"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On July 28, 2010, the board of directors approved an amendment to each of the employment agreements with David A. Harrell, H. David Lester and Terence J. Hamilton.</w:t>
      </w:r>
    </w:p>
    <w:p>
      <w:pPr>
        <w:spacing w:after="0" w:line="197"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The amendment to employment agreement with David A. Harrell imposes non-competition and non-solicitation restrictions for a period of twenty-four (24) months following the date of termination of Mr. Harrell’s employment with the Company. The amendment also entitles Mr. Harrell to severance pay following the termination of his employment at any time, without or without cause, in an amount equal to the monthly portion of Mr. Harrell’s annual base salary for a period of twenty-four (24) months; provided, however, such severance payments are subject to Mr. Harrell’s compliance with the non-competition and non-solicitation restrictions.</w:t>
      </w:r>
    </w:p>
    <w:p>
      <w:pPr>
        <w:spacing w:after="0" w:line="215"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Each of the amendments for H. David Lester and Terence J. Hamilton imposes similar non-competition and non-solicitation restrictions for a period of twelve (12) months following the respective date of their termination of employment with the Company. Each such amendment also entitles each of Mr. Lester and Mr. Hamilton to severance pay following the termination of their respective employment at any time, without or without cause, in an amount equal to their respective annual base salary payable in monthly installments for a period of twelve (12) months; provided, however, such severance payments are subject to their compliance with their respective employment agreements, as amended, including the non-competition and non-solicitation restrictions.</w:t>
      </w:r>
    </w:p>
    <w:p>
      <w:pPr>
        <w:spacing w:after="0" w:line="181" w:lineRule="exact"/>
        <w:rPr>
          <w:sz w:val="20"/>
          <w:szCs w:val="20"/>
          <w:color w:val="auto"/>
        </w:rPr>
      </w:pPr>
    </w:p>
    <w:p>
      <w:pPr>
        <w:ind w:right="64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28, 2010, the board of directors, effectively immediately, removed Thomas E. Majerowicz from the positions of director, vice president and secretary with the Company and with the Company’s wholly owned subsidiary, OptimizeRx Corporation, a Michigan corporation, to allow an open seat on our board of directors. There was no disagreement with Mr. Majerowicz about his departure with our Company. Management wishes to publicly thank Mr. Majerowicz for his valuable service in the positions he held with the Company.</w:t>
      </w:r>
    </w:p>
    <w:p>
      <w:pPr>
        <w:spacing w:after="0" w:line="21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On July 28, 2010, the board of directors, effectively immediately, elected H. David Lester as the secretary of the Company and the Company’s wholly owned subsidiary, OptimizeRx Corporation, a Michigan corporation, to replace Mr. Majerowicz. Mr. Lester currently serves as the president and chief executive officer of both corporations.</w:t>
      </w:r>
    </w:p>
    <w:p>
      <w:pPr>
        <w:spacing w:after="0" w:line="208" w:lineRule="exact"/>
        <w:rPr>
          <w:sz w:val="20"/>
          <w:szCs w:val="20"/>
          <w:color w:val="auto"/>
        </w:rPr>
      </w:pPr>
    </w:p>
    <w:p>
      <w:pPr>
        <w:ind w:right="300"/>
        <w:spacing w:after="0" w:line="297" w:lineRule="auto"/>
        <w:rPr>
          <w:sz w:val="20"/>
          <w:szCs w:val="20"/>
          <w:color w:val="auto"/>
        </w:rPr>
      </w:pPr>
      <w:r>
        <w:rPr>
          <w:rFonts w:ascii="Arial" w:cs="Arial" w:eastAsia="Arial" w:hAnsi="Arial"/>
          <w:sz w:val="16"/>
          <w:szCs w:val="16"/>
          <w:color w:val="auto"/>
        </w:rPr>
        <w:t>On July 28, 2010, the board of directors ratified the appointment of Shad Stastney to replace the seat left by Mr. Majerowicz on the Company’s board of directors. As a series B preferred stockholder, Vicis Capital Master Fund has the right to appoint one or more directors to the Company’s board of directors. Consistent with such right, Vicis Capital Master Fund appointed Mr. Stastney . A description of Vicis’ right to appoint director(s) to the Company’s board of directors is set forth in Company’s Certificate of Designation, Preferences, and Rights of Series B Convertible Preferred Stock which was filed as an exhibit to the Company’s Current Report on Form 8-K filed with the Securities and Exchange Commission on June 11, 2010.</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p>
      <w:pPr>
        <w:ind w:right="60" w:firstLine="648"/>
        <w:spacing w:after="0" w:line="255" w:lineRule="auto"/>
        <w:rPr>
          <w:sz w:val="20"/>
          <w:szCs w:val="20"/>
          <w:color w:val="auto"/>
        </w:rPr>
      </w:pPr>
      <w:r>
        <w:rPr>
          <w:rFonts w:ascii="Arial" w:cs="Arial" w:eastAsia="Arial" w:hAnsi="Arial"/>
          <w:sz w:val="18"/>
          <w:szCs w:val="18"/>
          <w:color w:val="auto"/>
        </w:rPr>
        <w:t>Mr. Stastney is a member of and the chief operating officer for Vicis Capital, LLC, a company he jointly founded in 2004. Mr. Stastney also jointly founded Victus Capital Management LLC in 2001. From 1998 through 2001, Mr. Stastney worked with the corporate equity derivatives origination group of Credit Suisse First Boston, eventually becoming a Director and Head of the Hedging and Monetization Group, a joint venture between derivatives and equity capital markets. In 1997, he joined Credit Suisse First Boston’s then-combined convertible/equity derivative origination desk. From 1994 to 1997, he was an associate at the law firm of Cravath, Swaine and Moore in New York, in their tax and corporate groups, focusing on derivatives. He graduated from the University of North Dakota in 1990 with a B.A. in Political Theory and His tory, and from the Yale Law School in 1994 with a J.D. degree focusing on corporate and tax law.</w:t>
      </w:r>
    </w:p>
    <w:p>
      <w:pPr>
        <w:spacing w:after="0" w:line="216"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Vicis Capital LLC, the investment manager of Vicis Capital Master Fund, has voting and dispositive power over shares owned by Vicis Capital Master Fund and therefore may be deemed to beneficially own such shares. Vicis Capital Master Fund beneficially owns 236,598 shares of common stock as well as shares of the Company's series A preferred stock convertible into shares of common stock, series A warrants exercisable into shares of common stock, shares of the Company's series B preferred stock convertible into shares of common stock, and series B warrants exercisable into shares of common stock. The terms of each of the series A preferred stock, series A warrants, series B preferred stock, and series B warrants contain conversion caps which prohibit the conversion or exercise, as the case may be, of such preferred stock or such warrants to the extent that the holder of such preferred stock or such warrants would beneficially own in excess of each of 4.99% and 9.99% of the common stock, subject in either case to the waiver of such cap by the holder upon the provision of 61 days' notice to the Company. In the absence of such conversion caps, Vicis Capital Master Fund may be deemed to beneficially own up to an additional (i) 3,500,000 shares issuable upon the conversion of the series A preferred stock, (ii) 6,000,000 shares issuable upon the exercise of the series A warrants, (iii) 1,000,000 shares issuable upon the conversion of the series B preferred stock, and (iv) 3,000,000 shares issuable upon the exercise of the series B warrants. Descriptions of the investments in the Company made by Vicis Capital Master Fund are set forth in the current report on Form 8-K, filed with the Securities and Exchange Commission on June 11, 2010, and in the registration statement on Form S-1 filed with the Securities and Exch ange Commission on November 12, 2008.</w:t>
      </w:r>
    </w:p>
    <w:p>
      <w:pPr>
        <w:spacing w:after="0" w:line="21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Other than described herein, Mr. Stastney has not been a participant in, or is to be a participant in, any related-person transaction or proposed related-person transaction required to be disclosed by Item 404(a) of Regulation S-K under the Securities Exchange Act of 1934. In addition, there are no family relationships between Mr. Stastney and any of our directors or executive officers.</w:t>
      </w:r>
    </w:p>
    <w:p>
      <w:pPr>
        <w:spacing w:after="0" w:line="204"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9.01</w:t>
        <w:tab/>
        <w:t>FINANCIAL STATEMENTS AND EXHIBITS</w:t>
      </w:r>
    </w:p>
    <w:p>
      <w:pPr>
        <w:spacing w:after="0" w:line="25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Amendment to Employment Agreement – David A. Harrell</w:t>
      </w:r>
      <w:r>
        <w:rPr>
          <w:rFonts w:ascii="Arial" w:cs="Arial" w:eastAsia="Arial" w:hAnsi="Arial"/>
          <w:sz w:val="22"/>
          <w:szCs w:val="22"/>
          <w:color w:val="auto"/>
          <w:vertAlign w:val="superscript"/>
        </w:rPr>
        <w:t>(1)</w:t>
      </w:r>
    </w:p>
    <w:p>
      <w:pPr>
        <w:spacing w:after="0" w:line="205" w:lineRule="auto"/>
        <w:tabs>
          <w:tab w:leader="none" w:pos="6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Amendment to Employment Agreement – H. David Lester</w:t>
      </w:r>
      <w:r>
        <w:rPr>
          <w:rFonts w:ascii="Arial" w:cs="Arial" w:eastAsia="Arial" w:hAnsi="Arial"/>
          <w:sz w:val="22"/>
          <w:szCs w:val="22"/>
          <w:color w:val="auto"/>
          <w:vertAlign w:val="superscript"/>
        </w:rPr>
        <w:t>(1)</w:t>
      </w:r>
    </w:p>
    <w:p>
      <w:pPr>
        <w:spacing w:after="0" w:line="210" w:lineRule="auto"/>
        <w:tabs>
          <w:tab w:leader="none" w:pos="68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Amendment to Employment Agreement – Terence J. Hamilton</w:t>
      </w:r>
      <w:r>
        <w:rPr>
          <w:rFonts w:ascii="Arial" w:cs="Arial" w:eastAsia="Arial" w:hAnsi="Arial"/>
          <w:sz w:val="22"/>
          <w:szCs w:val="22"/>
          <w:color w:val="auto"/>
          <w:vertAlign w:val="superscript"/>
        </w:rPr>
        <w:t>(1)</w:t>
      </w:r>
    </w:p>
    <w:p>
      <w:pPr>
        <w:spacing w:after="0" w:line="1" w:lineRule="exact"/>
        <w:rPr>
          <w:sz w:val="20"/>
          <w:szCs w:val="20"/>
          <w:color w:val="auto"/>
        </w:rPr>
      </w:pPr>
    </w:p>
    <w:p>
      <w:pPr>
        <w:ind w:left="5660" w:right="3200" w:hanging="5553"/>
        <w:spacing w:after="0" w:line="713" w:lineRule="auto"/>
        <w:tabs>
          <w:tab w:leader="none" w:pos="323"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Incorporated by reference on Form 8-K filed with the Securities and Exchange Commission on July 30, 2010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-191770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3" w:name="page4"/>
    <w:bookmarkEnd w:id="3"/>
    <w:p>
      <w:pPr>
        <w:jc w:val="center"/>
        <w:ind w:right="-49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00" w:lineRule="exact"/>
        <w:rPr>
          <w:sz w:val="20"/>
          <w:szCs w:val="20"/>
          <w:color w:val="auto"/>
        </w:rPr>
      </w:pPr>
    </w:p>
    <w:p>
      <w:pPr>
        <w:spacing w:after="0" w:line="292"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H. David Lester</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H. David Lester, President &amp; CEO</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19 , 2010</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Index</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Description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t>
      </w:r>
    </w:p>
    <w:p>
      <w:pPr>
        <w:spacing w:after="0" w:line="184"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Amendment to Employment Agreement – David A. Harrell</w:t>
      </w:r>
      <w:r>
        <w:rPr>
          <w:rFonts w:ascii="Arial" w:cs="Arial" w:eastAsia="Arial" w:hAnsi="Arial"/>
          <w:sz w:val="22"/>
          <w:szCs w:val="22"/>
          <w:color w:val="auto"/>
          <w:vertAlign w:val="superscript"/>
        </w:rPr>
        <w:t>(1)</w:t>
      </w:r>
    </w:p>
    <w:p>
      <w:pPr>
        <w:spacing w:after="0" w:line="205" w:lineRule="auto"/>
        <w:tabs>
          <w:tab w:leader="none" w:pos="6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Amendment to Employment Agreement – H. David Lester</w:t>
      </w:r>
      <w:r>
        <w:rPr>
          <w:rFonts w:ascii="Arial" w:cs="Arial" w:eastAsia="Arial" w:hAnsi="Arial"/>
          <w:sz w:val="22"/>
          <w:szCs w:val="22"/>
          <w:color w:val="auto"/>
          <w:vertAlign w:val="superscript"/>
        </w:rPr>
        <w:t>(1)</w:t>
      </w:r>
    </w:p>
    <w:p>
      <w:pPr>
        <w:spacing w:after="0" w:line="210" w:lineRule="auto"/>
        <w:tabs>
          <w:tab w:leader="none" w:pos="68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Amendment to Employment Agreement – Terence J. Hamilton</w:t>
      </w:r>
      <w:r>
        <w:rPr>
          <w:rFonts w:ascii="Arial" w:cs="Arial" w:eastAsia="Arial" w:hAnsi="Arial"/>
          <w:sz w:val="22"/>
          <w:szCs w:val="22"/>
          <w:color w:val="auto"/>
          <w:vertAlign w:val="superscript"/>
        </w:rPr>
        <w:t>(1)</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2. Incorporated by reference on Form 8-K filed with the Securities and Exchange Commission on July 30, 2010</w:t>
      </w:r>
    </w:p>
    <w:sectPr>
      <w:pgSz w:w="11900" w:h="16838" w:orient="portrait"/>
      <w:cols w:equalWidth="0" w:num="1">
        <w:col w:w="10940"/>
      </w:cols>
      <w:pgMar w:left="240" w:top="513"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2019-12-11T04:56:15Z</dcterms:created>
  <dcterms:modified xsi:type="dcterms:W3CDTF">2019-12-11T04:56:15Z</dcterms:modified>
</cp:coreProperties>
</file>