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20" w:type="dxa"/>
            <w:vAlign w:val="bottom"/>
            <w:gridSpan w:val="6"/>
          </w:tcPr>
          <w:p>
            <w:pPr>
              <w:jc w:val="center"/>
              <w:ind w:right="94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gridSpan w:val="6"/>
          </w:tcPr>
          <w:p>
            <w:pPr>
              <w:jc w:val="center"/>
              <w:ind w:right="94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9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June 22, 2016</w:t>
            </w:r>
          </w:p>
        </w:tc>
        <w:tc>
          <w:tcPr>
            <w:tcW w:w="3320" w:type="dxa"/>
            <w:vAlign w:val="bottom"/>
          </w:tcPr>
          <w:p>
            <w:pPr>
              <w:spacing w:after="0"/>
              <w:rPr>
                <w:sz w:val="24"/>
                <w:szCs w:val="24"/>
                <w:color w:val="auto"/>
              </w:rPr>
            </w:pPr>
          </w:p>
        </w:tc>
      </w:tr>
      <w:tr>
        <w:trPr>
          <w:trHeight w:val="439"/>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gridSpan w:val="6"/>
          </w:tcPr>
          <w:p>
            <w:pPr>
              <w:jc w:val="center"/>
              <w:ind w:right="940"/>
              <w:spacing w:after="0"/>
              <w:rPr>
                <w:sz w:val="20"/>
                <w:szCs w:val="20"/>
                <w:color w:val="auto"/>
              </w:rPr>
            </w:pPr>
            <w:r>
              <w:rPr>
                <w:rFonts w:ascii="Arial" w:cs="Arial" w:eastAsia="Arial" w:hAnsi="Arial"/>
                <w:sz w:val="18"/>
                <w:szCs w:val="18"/>
                <w:color w:val="auto"/>
                <w:w w:val="93"/>
              </w:rPr>
              <w:t>OptimizeRx Corporation</w:t>
            </w:r>
          </w:p>
        </w:tc>
        <w:tc>
          <w:tcPr>
            <w:tcW w:w="3320" w:type="dxa"/>
            <w:vAlign w:val="bottom"/>
          </w:tcPr>
          <w:p>
            <w:pPr>
              <w:spacing w:after="0"/>
              <w:rPr>
                <w:sz w:val="24"/>
                <w:szCs w:val="24"/>
                <w:color w:val="auto"/>
              </w:rPr>
            </w:pPr>
          </w:p>
        </w:tc>
      </w:tr>
      <w:tr>
        <w:trPr>
          <w:trHeight w:val="230"/>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78"/>
              </w:rPr>
              <w:t>(Exact</w:t>
            </w:r>
          </w:p>
        </w:tc>
        <w:tc>
          <w:tcPr>
            <w:tcW w:w="28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w w:val="96"/>
              </w:rPr>
              <w:t>name of registrant as specified in its</w:t>
            </w:r>
          </w:p>
        </w:tc>
        <w:tc>
          <w:tcPr>
            <w:tcW w:w="960" w:type="dxa"/>
            <w:vAlign w:val="bottom"/>
            <w:gridSpan w:val="3"/>
          </w:tcPr>
          <w:p>
            <w:pPr>
              <w:spacing w:after="0"/>
              <w:rPr>
                <w:sz w:val="20"/>
                <w:szCs w:val="20"/>
                <w:color w:val="auto"/>
              </w:rPr>
            </w:pPr>
            <w:r>
              <w:rPr>
                <w:rFonts w:ascii="Arial" w:cs="Arial" w:eastAsia="Arial" w:hAnsi="Arial"/>
                <w:sz w:val="18"/>
                <w:szCs w:val="18"/>
                <w:color w:val="auto"/>
              </w:rPr>
              <w:t>charter)</w:t>
            </w:r>
          </w:p>
        </w:tc>
        <w:tc>
          <w:tcPr>
            <w:tcW w:w="3320" w:type="dxa"/>
            <w:vAlign w:val="bottom"/>
          </w:tcPr>
          <w:p>
            <w:pPr>
              <w:spacing w:after="0"/>
              <w:rPr>
                <w:sz w:val="20"/>
                <w:szCs w:val="20"/>
                <w:color w:val="auto"/>
              </w:rPr>
            </w:pPr>
          </w:p>
        </w:tc>
      </w:tr>
      <w:tr>
        <w:trPr>
          <w:trHeight w:val="452"/>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0"/>
              </w:rPr>
              <w:t>Nevada</w:t>
            </w:r>
          </w:p>
        </w:tc>
        <w:tc>
          <w:tcPr>
            <w:tcW w:w="4020" w:type="dxa"/>
            <w:vAlign w:val="bottom"/>
            <w:gridSpan w:val="6"/>
          </w:tcPr>
          <w:p>
            <w:pPr>
              <w:jc w:val="center"/>
              <w:ind w:left="1110"/>
              <w:spacing w:after="0"/>
              <w:rPr>
                <w:sz w:val="20"/>
                <w:szCs w:val="20"/>
                <w:color w:val="auto"/>
              </w:rPr>
            </w:pPr>
            <w:r>
              <w:rPr>
                <w:rFonts w:ascii="Arial" w:cs="Arial" w:eastAsia="Arial" w:hAnsi="Arial"/>
                <w:sz w:val="18"/>
                <w:szCs w:val="18"/>
                <w:color w:val="auto"/>
                <w:w w:val="90"/>
              </w:rPr>
              <w:t>000-53605</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20" w:type="dxa"/>
            <w:vAlign w:val="bottom"/>
            <w:tcBorders>
              <w:top w:val="single" w:sz="8" w:color="auto"/>
            </w:tcBorders>
          </w:tcPr>
          <w:p>
            <w:pPr>
              <w:jc w:val="center"/>
              <w:ind w:left="470"/>
              <w:spacing w:after="0" w:line="201" w:lineRule="exact"/>
              <w:rPr>
                <w:sz w:val="20"/>
                <w:szCs w:val="20"/>
                <w:color w:val="auto"/>
              </w:rPr>
            </w:pPr>
            <w:r>
              <w:rPr>
                <w:rFonts w:ascii="Arial" w:cs="Arial" w:eastAsia="Arial" w:hAnsi="Arial"/>
                <w:sz w:val="18"/>
                <w:szCs w:val="18"/>
                <w:color w:val="auto"/>
                <w:w w:val="91"/>
              </w:rPr>
              <w:t>(State or other jurisdiction</w:t>
            </w: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gridSpan w:val="4"/>
          </w:tcPr>
          <w:p>
            <w:pPr>
              <w:jc w:val="center"/>
              <w:ind w:right="29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5"/>
              </w:rPr>
              <w:t>of incorporation)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2280" w:type="dxa"/>
            <w:vAlign w:val="bottom"/>
            <w:tcBorders>
              <w:top w:val="single" w:sz="8" w:color="auto"/>
            </w:tcBorders>
            <w:gridSpan w:val="4"/>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289560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1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5.02 concerning the entry into a material definitive agreement is incorporated by reference in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Brian Dillon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June 22, 2016, we have appointed Mr. Brian Dillon as our Senior Vice President of Product and Strategy.</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With over 35 years’ experience with Software Systems and Services in the Insurance, Pharmaceutical, Pharmacy and Healthcare sectors, Mr. Dillon has been the driving force and founder of a series of successful start-up companies in Canada (QuadROM) and the US (Kelly Waldron Technology Solutions) with successful transitions in all cases. As a result of those transitions he has had the pleasure of working within Fortune 30 companies in senior management roles both domestically (McKesson) and internationally (Cegedim). The mission of each company had focused on delivering advanced sales &amp; marketing systems, technology platforms and related services to the sectors stated above. More recently, 2006 to present, Mr. Dillon has been involved in the Health Information Technology sector as a consultant to a variety of companies with mandates including an interim role of CEO for an Electronic Health Records (EHR) company, a senior business development strategist for a publicly traded eRx systems provider in Canada, a business development specialist for a unique data mining company, product/channel strategist for a large CoPay company as well as to a select number of strategic clients within the HiTech sector.</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Aside from that provided above, Mr. Dillon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Dillon and any of our directors or executive officers.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Aside from the following, Mr. Dillon has not had any material direct or indirect interest in any of our transactions or proposed transactions over the last two years.</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On June 22, 2016, Mr. Dillon and our company entered into an agreement to consult with our company as our Senior Vice President of Product and Strategy. Pursuant to the agreement, Mr. Dillon will receive an annual base salary of $185,000 and he will be eligible for a bonus of up to 30% of his base salary based on our executive bonus plan. The bonus is payable in shares of our common stock or a combination of 50% cash and 50% equity, as requested by Mr. Dillon.</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we also agreed to recommend to the Board of Directors that our company grant to Mr. Dillon an option under our 2013 Incentive Plan to purchase 100,000 shares of our common stock with an exercise price at fair market value per share on the date of grant. In addition, we agreed to recommend to the Board of Directors that the company grant to Mr. Dillon an option under our 2013 Incentive Plan to purchase 300,000 shares of our common stock with an exercise price at fair market value per share on the date of grant should we determine, in our sole discretion, that Mr. Dillon is responsible for achieving $2 million in new business from additional products or product extensions.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options will be subject to vesting and other terms as set forth in the 2013 Incentive Plan, Stock Option Grant Notice and Stock Option Agreement.</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ind w:right="420"/>
        <w:spacing w:after="0" w:line="308" w:lineRule="auto"/>
        <w:rPr>
          <w:sz w:val="20"/>
          <w:szCs w:val="20"/>
          <w:color w:val="auto"/>
        </w:rPr>
      </w:pPr>
      <w:r>
        <w:rPr>
          <w:rFonts w:ascii="Arial" w:cs="Arial" w:eastAsia="Arial" w:hAnsi="Arial"/>
          <w:sz w:val="17"/>
          <w:szCs w:val="17"/>
          <w:color w:val="auto"/>
        </w:rPr>
        <w:t>The agreement further provides that if Mr. Dillon’s consultancy with us is involuntarily terminated without cause, Mr. Dillon will be entitled to receive a severance payment of up to six months of his applicable base pay, provided that he has served for a period of six months beforehand.</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agreement contains a Business Protection Agreement that contains restrictive covenants that include a non-compete both during the consultancy and for a period of one year thereafter, and an inventions assignment clause both during the consultancy and for a period of six months thereafter. The agreement also contains a confidentiality provision.</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foregoing description of the agreement is qualified in its entirety by reference to the full text of the agreement, which is filed as Exhibit 10.1 to this Current Report on Form 8-K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Doug Baker</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27, 2016, we entered into an updated employment agreement with Mr. Doug Baker to continue serving as our Chief Financial Officer. Under the agreement, we agreed to compensate Mr. Baker $180,000 annually and he will be eligible for a bonus of up to 30% of his base salary based on our executive bonus plan. The bonus is payable in shares of our common stock or a combination of 50% cash and 50% equity, as requested by Mr. Baker. Mr. Baker is also eligible for employee benefits, including our 401(k) plan, medical and dental insurance and short and long term disability. The agreement further provides that if Mr. Baker’s employment with us is involuntarily terminated without cause, Mr. Baker will be entitled to receive a severance payment of up to six months of his applicable base pay.</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agreement contains a Business Protection Agreement that contains restrictive covenants that include a non-compete both during the employment and for a period of one year thereafter, and an inventions assignment clause both during the employment and for a period of six months thereafter. The agreement also contains a confidentiality provision.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copy of the updated employment agreement is attached hereto as Exhibit 10.2, and is incorporated herein by reference. The foregoing description of the employment agreement is qualified in its entirety by reference to the full text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Terry Hamilton</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June 27, 2016, we entered into an updated employment agreement with Mr. Terry Hamilton to continue serving as our Senior Vice President of Sales. Under the agreement, we agreed to compensate Mr. Hamilton $181,650 annually and he will be eligible for a bonus of up to 40% of his base salary based on our executive bonus plan. The bonus is payable in shares of our common stock or a combination of 50% cash and 50% equity, as requested by Mr. Hamilton. Mr. Hamilton is also eligible for employee benefits, including our 401(k) plan, medical and dental insurance and short and long term disability. The agreement further provides that if Mr. Hamilton’s employment with us is involuntarily terminated without cause, Mr. Hamilton will be entitled to receive a severance payment of up to twelve months of his applicable base pay.</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agreement contains a Business Protection Agreement that contains restrictive covenants that include a non-compete both during the employment and for a period of one year thereafter, and an inventions assignment clause both during the employment and for a period of six months thereafter. The agreement also contains a confidentiality provision.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copy of the updated employment agreement is attached hereto as Exhibit 10.3, and is incorporated herein by reference. The foregoing description of the employment agreement is qualified in its entirety by reference to the full text thereto.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June 22, 2016, we issued a press release concerning the appointment of Mr. Brian Dillon to the new position of SVP of Product and Strategy. A copy of the press release is attached as Exhibit 99.1 to this Current Report on Form 8-K.</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shd w:val="clear" w:color="auto" w:fill="CCEEFF"/>
          </w:tcPr>
          <w:p>
            <w:pPr>
              <w:spacing w:after="0"/>
              <w:rPr>
                <w:sz w:val="18"/>
                <w:szCs w:val="18"/>
                <w:color w:val="auto"/>
              </w:rPr>
            </w:pPr>
          </w:p>
        </w:tc>
        <w:tc>
          <w:tcPr>
            <w:tcW w:w="10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Agreement, dated June 22, 2016, by and between OptimizeRx Corp. and Brian Dillon.</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dated June 27, 2016, by and between OptimizeRx Corp. and Doug Baker</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 dated June 27, 2016, by and between OptimizeRx Corp. and Terry Hamilton</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June 22, 2016</w:t>
            </w:r>
          </w:p>
        </w:tc>
      </w:tr>
      <w:tr>
        <w:trPr>
          <w:trHeight w:val="641"/>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27, 2016</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4"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140335</wp:posOffset>
            </wp:positionV>
            <wp:extent cx="3567430" cy="951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This agreement made and entered into this June 22, 2016, by and between OptimizeRx Corporation, a Nevada Company, hereinafter referred to as “Employer” and Brian Dillon, hereinafter referred to as the “Consultant”.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Employer is engaged in the business of Pharmaceutical and healthcare promotion to physicians and consumers through their electronic platforms and other means and desires Brian Dillon to serve as the Senior Vice-President Product &amp; Strategy for the company.</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Your annual consulting fee is $185,000 at the rate of $7,708.33 per semi-monthly pay period, representing payment for all hours worked (“Base Compensation”). Your Base Compensation is payable in accordance with the Company’s regular practices. Your pay for the first pay period of your consulting will be prorated based on the number of days you work in that pay period.</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xml:space="preserve"> In addition to your Base Compensation, you will be eligible to participate in the Company’s executive bonus plan, subject to its terms and conditions, with the potential to earn a bonus of 30 % of your Base Compensation. Brian has the option to take the bonus in equity or to have a split 50/50 arrangement with 50% in cash and 50 % in equity. The option as to which is at the discretion of Brian Dillon.</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u w:val="single" w:color="auto"/>
          <w:color w:val="auto"/>
        </w:rPr>
        <w:t>Job Responsibilities</w:t>
      </w:r>
      <w:r>
        <w:rPr>
          <w:rFonts w:ascii="Arial" w:cs="Arial" w:eastAsia="Arial" w:hAnsi="Arial"/>
          <w:sz w:val="17"/>
          <w:szCs w:val="17"/>
          <w:color w:val="auto"/>
        </w:rPr>
        <w:t>. As Sr. Vice President of Product and Strategy reporting to the CEO, you are an essential member and part of our corporate management. You shall use your best efforts and devote your full time and attention to the business of the Company on a full time basis and shall at all times faithfully and industriously and to the best of your ability, experience and talent, perform all of the duties that may be required of you pursuant to the terms hereof. During the term hereof you shall not engage in any other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17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xml:space="preserve"> We will recommend to the Board of Directors that the Company grant you an option to purchase up to one hundred thousand (100,000) shares of the Company’s Common Stock at an exercise price equal to the fair market value of such shares on the date of the grant (“New Hire Share Options”). The New Hire Share Options will be granted to you pursuant to the terms of the 2013 Incentive Plan, a Stock Option Grant Notice and Stock Option Agreement, and such documents will contain applicable vesting terms and otherwise govern the terms and conditions of the equity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line="273" w:lineRule="auto"/>
        <w:rPr>
          <w:sz w:val="20"/>
          <w:szCs w:val="20"/>
          <w:color w:val="auto"/>
        </w:rPr>
      </w:pPr>
      <w:r>
        <w:rPr>
          <w:rFonts w:ascii="Arial" w:cs="Arial" w:eastAsia="Arial" w:hAnsi="Arial"/>
          <w:sz w:val="17"/>
          <w:szCs w:val="17"/>
          <w:color w:val="auto"/>
        </w:rPr>
        <w:t>In addition to the New Hire Share Options, we will also recommend to the Board of Directors that the Company grant you an additional option to purchase up to three-hundred thousand (300,000) shares of the Company’s Common Stock at an exercise price equal to the fair market value of such shares on the date of the grant (“New Business Share Options”) should the Company determine in its sole discretion that you have been responsible for achieving two million dollars ($2M) in new business from additional products or product extensions. The New Business Share Options, if granted, will be granted to you pursuant to the terms of the 2013 Incentive Plan, a Stock Option Grant Notice and Stock Option Agreement, and such documents will contain applicable vesting terms and otherwise govern the terms and conditions of the equity grant.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Expense Reimbursement</w:t>
      </w:r>
      <w:r>
        <w:rPr>
          <w:rFonts w:ascii="Arial" w:cs="Arial" w:eastAsia="Arial" w:hAnsi="Arial"/>
          <w:sz w:val="16"/>
          <w:szCs w:val="16"/>
          <w:color w:val="auto"/>
        </w:rPr>
        <w:t>. We will reimburse you for all approved business travel costs incurred by you pursuant to the terms of the Company travel policy.</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At-Will Agreement.</w:t>
      </w:r>
      <w:r>
        <w:rPr>
          <w:rFonts w:ascii="Arial" w:cs="Arial" w:eastAsia="Arial" w:hAnsi="Arial"/>
          <w:sz w:val="18"/>
          <w:szCs w:val="18"/>
          <w:color w:val="auto"/>
        </w:rPr>
        <w:t xml:space="preserve"> Please note that you are not being offered employment, nor consulting for a definite period of time, and that either you or the Company may terminate your consulting agreement at any time for any reason, with or without cause or notice, except as prohibited by law. Nothing in this offer to you should be interpreted as creating anything other than an at-will consulting relationship. You also have the right to terminate your consulting with the company at any time for any reason on thirty days’ prior written notice.</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agreement with the Company, you will be required to execute and return to the Company the enclosed Business Protection Agreement on or before your first day of consulting.</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Conflicts of Interest and Gifts.</w:t>
      </w:r>
      <w:r>
        <w:rPr>
          <w:rFonts w:ascii="Arial" w:cs="Arial" w:eastAsia="Arial" w:hAnsi="Arial"/>
          <w:sz w:val="18"/>
          <w:szCs w:val="18"/>
          <w:color w:val="auto"/>
        </w:rPr>
        <w:t xml:space="preserve"> You will promptly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-312420</wp:posOffset>
            </wp:positionV>
            <wp:extent cx="2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You will comply with all applicable laws and Company policies in performing your duties hereunder including federal and state securities laws.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xml:space="preserve"> If the Consultant’s agreement is terminated at any time, after the completion of six months of service, by the Company without cause, which termination shall be effective immediately upon the date of delivery of written notice to Consultant (or at such later date as otherwise specified in such notice), the Company shall continue to pay to the Consultant, as severance pay, the monthly portion of the Consultant’s annual base rate for a period of six (6) months following such termination, subject to the Consultant’s compliance with the terms and conditions of this Agreement and the Business Protection Agreement.</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Except as set forth herein, or as set forth in your option agreements, or as may be required by applicable law, you have no right to any specific compensation or benefits, and the Company shall have no obligations to pay any salary, bonus, severance payment, accrued vacation or other amounts in connection with any termination of your consulting or attributable to the period after termination.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ind w:right="60"/>
        <w:spacing w:after="0" w:line="277" w:lineRule="auto"/>
        <w:rPr>
          <w:sz w:val="20"/>
          <w:szCs w:val="20"/>
          <w:color w:val="auto"/>
        </w:rPr>
      </w:pPr>
      <w:r>
        <w:rPr>
          <w:rFonts w:ascii="Arial" w:cs="Arial" w:eastAsia="Arial" w:hAnsi="Arial"/>
          <w:sz w:val="18"/>
          <w:szCs w:val="18"/>
          <w:u w:val="single" w:color="auto"/>
          <w:color w:val="auto"/>
        </w:rPr>
        <w:t>Required Documentation.</w:t>
      </w:r>
      <w:r>
        <w:rPr>
          <w:rFonts w:ascii="Arial" w:cs="Arial" w:eastAsia="Arial" w:hAnsi="Arial"/>
          <w:sz w:val="18"/>
          <w:szCs w:val="18"/>
          <w:color w:val="auto"/>
        </w:rPr>
        <w:t xml:space="preserve"> Your consulting for the Company is also subject to you providing the Company with proof of your legal right to work in the United States by providing the Company with acceptable documentation.</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xml:space="preserve"> As a condition of your consulting, you certify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Additionally, as a condition of your consulting,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states the terms of your consulting agreement and supersedes and cancels any prior oral or written representations, offers or promises made by the Company and any understandings or agreements, whether written or oral, between the Company and you.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Accepted by Employer:</w:t>
            </w:r>
          </w:p>
        </w:tc>
        <w:tc>
          <w:tcPr>
            <w:tcW w:w="2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Accepted by Employee:</w:t>
            </w:r>
          </w:p>
        </w:tc>
        <w:tc>
          <w:tcPr>
            <w:tcW w:w="2560" w:type="dxa"/>
            <w:vAlign w:val="bottom"/>
          </w:tcPr>
          <w:p>
            <w:pPr>
              <w:spacing w:after="0"/>
              <w:rPr>
                <w:sz w:val="20"/>
                <w:szCs w:val="20"/>
                <w:color w:val="auto"/>
              </w:rPr>
            </w:pPr>
          </w:p>
        </w:tc>
      </w:tr>
      <w:tr>
        <w:trPr>
          <w:trHeight w:val="439"/>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c>
          <w:tcPr>
            <w:tcW w:w="27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Dillon</w:t>
            </w:r>
          </w:p>
        </w:tc>
        <w:tc>
          <w:tcPr>
            <w:tcW w:w="2560" w:type="dxa"/>
            <w:vAlign w:val="bottom"/>
            <w:tcBorders>
              <w:bottom w:val="single" w:sz="8" w:color="auto"/>
            </w:tcBorders>
          </w:tcPr>
          <w:p>
            <w:pPr>
              <w:spacing w:after="0"/>
              <w:rPr>
                <w:sz w:val="24"/>
                <w:szCs w:val="24"/>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William J. Febbo</w:t>
            </w:r>
          </w:p>
        </w:tc>
        <w:tc>
          <w:tcPr>
            <w:tcW w:w="2720" w:type="dxa"/>
            <w:vAlign w:val="bottom"/>
          </w:tcPr>
          <w:p>
            <w:pPr>
              <w:ind w:left="740"/>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Brian Dillon</w:t>
            </w:r>
          </w:p>
        </w:tc>
        <w:tc>
          <w:tcPr>
            <w:tcW w:w="2560" w:type="dxa"/>
            <w:vAlign w:val="bottom"/>
          </w:tcPr>
          <w:p>
            <w:pPr>
              <w:ind w:left="860"/>
              <w:spacing w:after="0"/>
              <w:rPr>
                <w:sz w:val="20"/>
                <w:szCs w:val="20"/>
                <w:color w:val="auto"/>
              </w:rPr>
            </w:pPr>
            <w:r>
              <w:rPr>
                <w:rFonts w:ascii="Arial" w:cs="Arial" w:eastAsia="Arial" w:hAnsi="Arial"/>
                <w:sz w:val="18"/>
                <w:szCs w:val="18"/>
                <w:color w:val="auto"/>
              </w:rPr>
              <w:t>(Date)</w:t>
            </w:r>
          </w:p>
        </w:tc>
      </w:tr>
      <w:tr>
        <w:trPr>
          <w:trHeight w:val="641"/>
        </w:trPr>
        <w:tc>
          <w:tcPr>
            <w:tcW w:w="2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w:t>
            </w:r>
          </w:p>
        </w:tc>
        <w:tc>
          <w:tcPr>
            <w:tcW w:w="25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154940</wp:posOffset>
            </wp:positionV>
            <wp:extent cx="3567430" cy="951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updated agreement made and entered into this June 27, 2016, by and between OptimizeRx Corporation, a Nevada Company, hereinafter referred to as “Employer” and Douglas P. Baker, hereinafter referred to as the “Employee”.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Employer is engaged in the business of Pharmaceutical and healthcare promotion to physicians and consumers through their electronic platforms and other means and desires Douglas P. Baker to serve as the Chief Financial Officer for the company.</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Your annual base salary, commencing June 1, 2016, is $180,000, payable at a rate of $7,500.00 per semi-monthly pay period, representing payment for all hours worked (“Base Compensation”). Your Base Compensation is payable in accordance with the Company’s regular practices.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xml:space="preserve"> In addition to your Base Compensation, you will be eligible to participate in the Company’s executive bonus plan, subject to its terms and conditions, with an annual target bonus of 30 % of your Base Compensation. Subject to board approval and registration of the plans and related legal compliance, you will have the option to take the bonus in equity or in a split 50/50 arrangement with 50% in cash and 50 % in equity. The option to take all, or a portion, of your bonus in equity is at your discretion.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In addition to your compensation, you will have the opportunity to participate in various Company benefit programs generally offered to employees, pursuant to the terms and conditions of such programs, including applicable waiting periods prior to eligibility. Currently, we offer employees a 401(k) plan, group medical and dental insurance and short and long term disability benefits. Please note that the Company reserves the right to change or discontinue any of our benefits, plans, providers, and policies, at any time.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Job Responsibilities</w:t>
      </w:r>
      <w:r>
        <w:rPr>
          <w:rFonts w:ascii="Arial" w:cs="Arial" w:eastAsia="Arial" w:hAnsi="Arial"/>
          <w:sz w:val="18"/>
          <w:szCs w:val="18"/>
          <w:color w:val="auto"/>
        </w:rPr>
        <w:t>. As Chief Financial Officer, your responsibilities include oversite and management of all financial and human resources activities, as well as other duties from time-to-time assigned by the CEO. You shall use your best efforts and devote your full time and attention to the business of the Company on a full time basis and shall at all times faithfully and industriously and to the best of your ability, experience and talent, perform all of the duties that may be required of you pursuant to the terms hereof. During the term hereof you shall not engage in any other new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right="380"/>
        <w:spacing w:after="0" w:line="277" w:lineRule="auto"/>
        <w:rPr>
          <w:sz w:val="20"/>
          <w:szCs w:val="20"/>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The Company will reimburse you for all approved business travel costs incurred by you pursuant to the terms of the Company travel policy.</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Please note that you are not being offered employment for a definite period of time, and that the Company may terminate your employment at any time for any reason, with or without cause or notice, except as prohibited by law. Nothing in this offer to you should be interpreted as creating anything other than an at-will employment relationship. You also have the right terminate your employment with the company at any time for any reason on thirty days’ prior written notice.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continued employment with the Company and the increase in compensation reflected herein, you will be required to execute and return to the Company the enclosed Business Protection Agreement.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Conflicts of Interest and Gifts. You will promptly</w:t>
      </w:r>
      <w:r>
        <w:rPr>
          <w:rFonts w:ascii="Arial" w:cs="Arial" w:eastAsia="Arial" w:hAnsi="Arial"/>
          <w:sz w:val="18"/>
          <w:szCs w:val="18"/>
          <w:color w:val="auto"/>
        </w:rPr>
        <w:t xml:space="preserve">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Unless otherwise directed by the CEO or Board of Directors, you will to the best of your knowledge comply with all applicable laws and Company policies in performing your duties hereunder including federal and state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If your employment agreement is terminated at any time by the Company without cause, which termination shall be effective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immediately upon the date of delivery of written notice to you (or at such later date as otherwise specified in such notice), the Company shall continue to pay you, as severance pay, the monthly portion of your Base Compensation for a period of six (6) months following such termination, subject to your continued compliance with the terms and conditions of this Agreement and the Business Protection Agreement.</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Except as set forth herein, or as set forth in your option agreements, or as may be required by applicable law, you have no right to any specific compensation or benefits, and the Company shall have no obligations to pay any salary, bonus, severance payment, accrued vacation or other amounts in connection with any termination of your employment or attributable to the period after termination.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409A</w:t>
      </w:r>
      <w:r>
        <w:rPr>
          <w:rFonts w:ascii="Arial" w:cs="Arial" w:eastAsia="Arial" w:hAnsi="Arial"/>
          <w:sz w:val="18"/>
          <w:szCs w:val="18"/>
          <w:color w:val="auto"/>
        </w:rPr>
        <w:t>. 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Offer Letter (or referenced in this Offer Letter) are intended to constitute separate payments for purposes of Section 1.409A-2(b)(2) of the regulations under Code Section 409A.</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0" w:name="page11"/>
    <w:bookmarkEnd w:id="10"/>
    <w:p>
      <w:pPr>
        <w:ind w:right="80"/>
        <w:spacing w:after="0" w:line="342" w:lineRule="auto"/>
        <w:rPr>
          <w:sz w:val="20"/>
          <w:szCs w:val="20"/>
          <w:color w:val="auto"/>
        </w:rPr>
      </w:pPr>
      <w:r>
        <w:rPr>
          <w:rFonts w:ascii="Arial" w:cs="Arial" w:eastAsia="Arial" w:hAnsi="Arial"/>
          <w:sz w:val="16"/>
          <w:szCs w:val="16"/>
          <w:u w:val="single" w:color="auto"/>
          <w:color w:val="auto"/>
        </w:rPr>
        <w:t>Required I-9 Documentation.</w:t>
      </w:r>
      <w:r>
        <w:rPr>
          <w:rFonts w:ascii="Arial" w:cs="Arial" w:eastAsia="Arial" w:hAnsi="Arial"/>
          <w:sz w:val="16"/>
          <w:szCs w:val="16"/>
          <w:color w:val="auto"/>
        </w:rPr>
        <w:t xml:space="preserve"> Your employment with the Company is also subject to you providing, if you have not already done so, the Company with proof of your legal right to work in the United States by completing the Form I-9 and providing Company with the accepted documents specified on the Form I-9.</w:t>
      </w:r>
    </w:p>
    <w:p>
      <w:pPr>
        <w:spacing w:after="0" w:line="12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u w:val="single" w:color="auto"/>
          <w:color w:val="auto"/>
        </w:rPr>
        <w:t>Certifications.</w:t>
      </w:r>
      <w:r>
        <w:rPr>
          <w:rFonts w:ascii="Arial" w:cs="Arial" w:eastAsia="Arial" w:hAnsi="Arial"/>
          <w:sz w:val="17"/>
          <w:szCs w:val="17"/>
          <w:color w:val="auto"/>
        </w:rPr>
        <w:t xml:space="preserve"> By signing this letter, you certify to the Company that you are free to enter into and fully perform the duties of your position, and that you are not subject to any employment, confidentiality, non-competition or other agreement that would restrict your performance for the Company.</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by signing this letter,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 the terms of your employment and supersede and cancel any prior oral or written representations, offers or promises made by the Company and any understandings or agreements, whether written or oral, between the Company and you.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Accepted by Employer:</w:t>
            </w:r>
          </w:p>
        </w:tc>
        <w:tc>
          <w:tcPr>
            <w:tcW w:w="2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Accepted by Employee:</w:t>
            </w:r>
          </w:p>
        </w:tc>
        <w:tc>
          <w:tcPr>
            <w:tcW w:w="2680" w:type="dxa"/>
            <w:vAlign w:val="bottom"/>
          </w:tcPr>
          <w:p>
            <w:pPr>
              <w:spacing w:after="0"/>
              <w:rPr>
                <w:sz w:val="20"/>
                <w:szCs w:val="20"/>
                <w:color w:val="auto"/>
              </w:rPr>
            </w:pPr>
          </w:p>
        </w:tc>
      </w:tr>
      <w:tr>
        <w:trPr>
          <w:trHeight w:val="439"/>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c>
          <w:tcPr>
            <w:tcW w:w="27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c>
          <w:tcPr>
            <w:tcW w:w="2680" w:type="dxa"/>
            <w:vAlign w:val="bottom"/>
            <w:tcBorders>
              <w:bottom w:val="single" w:sz="8" w:color="auto"/>
            </w:tcBorders>
          </w:tcPr>
          <w:p>
            <w:pPr>
              <w:spacing w:after="0"/>
              <w:rPr>
                <w:sz w:val="24"/>
                <w:szCs w:val="24"/>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William J. Febbo</w:t>
            </w:r>
          </w:p>
        </w:tc>
        <w:tc>
          <w:tcPr>
            <w:tcW w:w="2720" w:type="dxa"/>
            <w:vAlign w:val="bottom"/>
          </w:tcPr>
          <w:p>
            <w:pPr>
              <w:ind w:left="740"/>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Douglas P. Baker</w:t>
            </w:r>
          </w:p>
        </w:tc>
        <w:tc>
          <w:tcPr>
            <w:tcW w:w="2680" w:type="dxa"/>
            <w:vAlign w:val="bottom"/>
          </w:tcPr>
          <w:p>
            <w:pPr>
              <w:ind w:left="720"/>
              <w:spacing w:after="0"/>
              <w:rPr>
                <w:sz w:val="20"/>
                <w:szCs w:val="20"/>
                <w:color w:val="auto"/>
              </w:rPr>
            </w:pPr>
            <w:r>
              <w:rPr>
                <w:rFonts w:ascii="Arial" w:cs="Arial" w:eastAsia="Arial" w:hAnsi="Arial"/>
                <w:sz w:val="18"/>
                <w:szCs w:val="18"/>
                <w:color w:val="auto"/>
              </w:rPr>
              <w:t>(Date)</w:t>
            </w:r>
          </w:p>
        </w:tc>
      </w:tr>
      <w:tr>
        <w:trPr>
          <w:trHeight w:val="641"/>
        </w:trPr>
        <w:tc>
          <w:tcPr>
            <w:tcW w:w="2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w:t>
            </w:r>
          </w:p>
        </w:tc>
        <w:tc>
          <w:tcPr>
            <w:tcW w:w="24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165735</wp:posOffset>
            </wp:positionV>
            <wp:extent cx="3567430" cy="951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updated agreement made and entered into this June 27, 2016, by and between OptimizeRx Corporation, a Nevada Company, hereinafter referred to as “Employer” and Terry Hamilton, hereinafter referred to as the “Employee”.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Employer is engaged in the business of Pharmaceutical and healthcare promotion to physicians and consumers through their electronic platforms and other means and desires Terry Hamilton to serve as the Senior Vice President of Sales for the company.</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 Your annual base salary is $181,650, payable at a rate of $7,562.50 per semi-monthly pay period, representing payment for all hours worked (“Base Compensation”). Your Base Compensation is payable in accordance with the Company’s regular practices.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xml:space="preserve"> In addition to your Base Compensation, you will be eligible to participate in the Company’s executive bonus plan, subject to its terms and conditions, with an annual target bonus of 40 % of your Base Compensation. Subject to board approval and registration of the plans and related legal compliance, you will have the option to take the bonus in equity or in a split 50/50 arrangement with 50% in cash and 50 % in equity. The option to take all, or a portion, of your bonus in equity is at your discretion.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In addition to your compensation, you will have the opportunity to participate in various Company benefit programs generally offered to employees, pursuant to the terms and conditions of such programs, including applicable waiting periods prior to eligibility. Currently, we offer employees a 401(k) plan, group medical and dental insurance and short and long term disability benefits. Please note that the Company reserves the right to change or discontinue any of our benefits, plans, providers, and policies, at any time.</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u w:val="single" w:color="auto"/>
          <w:color w:val="auto"/>
        </w:rPr>
        <w:t>Job Responsibilities</w:t>
      </w:r>
      <w:r>
        <w:rPr>
          <w:rFonts w:ascii="Arial" w:cs="Arial" w:eastAsia="Arial" w:hAnsi="Arial"/>
          <w:sz w:val="17"/>
          <w:szCs w:val="17"/>
          <w:color w:val="auto"/>
        </w:rPr>
        <w:t>. As Sr. Vice President of Sales reporting to the CEO, you are an essential member and part of our corporate management that is responsible for directing our sales force, expanding our customer base, and achieving overall sales goals. You shall use your best efforts and devote your full time and attention to the business of the Company on a full time basis and shall at all times faithfully and industriously and to the best of your ability, experience and talent, perform all of the duties that may be required of you pursuant to the terms hereof. During the term hereof you shall not engage in any other new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ind w:right="380"/>
        <w:spacing w:after="0" w:line="277" w:lineRule="auto"/>
        <w:rPr>
          <w:sz w:val="20"/>
          <w:szCs w:val="20"/>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The Company will reimburse you for all approved business travel costs incurred by you pursuant to the terms of the Company travel policy.</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Please note that you are not being offered employment for a definite period of time, and that the Company may terminate your employment at any time for any reason, with or without cause or notice, except as prohibited by law. Nothing in this offer to you should be interpreted as creating anything other than an at-will employment relationship. You also have the right to terminate your employment with the company at any time for any reason on thirty days’ prior written notice.</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continued employment with the Company and the increase in bonus potential reflected herein, you will be required to execute and return to the Company the enclosed Business Protection Agreement.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Conflicts of Interest and Gifts. You will promptly</w:t>
      </w:r>
      <w:r>
        <w:rPr>
          <w:rFonts w:ascii="Arial" w:cs="Arial" w:eastAsia="Arial" w:hAnsi="Arial"/>
          <w:sz w:val="18"/>
          <w:szCs w:val="18"/>
          <w:color w:val="auto"/>
        </w:rPr>
        <w:t xml:space="preserve">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You will comply with all applicable laws and Company policies in performing your duties hereunder including federal and state securities laws.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If your employment agreement is terminated at any time by the Company without cause, which termination shall be effective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immediately upon the date of delivery of written notice to you (or at such later date as otherwise specified in such notice), the Company shall continue to pay you, as severance pay, the monthly portion of your Base Compensation for a period of twelve (12) months following such termination, subject to your continued compliance with the terms and conditions of this Agreement and the Business Protection Agreement.</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Except as set forth herein, or as set forth in your option agreements, or as may be required by applicable law, you have no right to any specific compensation or benefits, and the Company shall have no obligations to pay any salary, bonus, severance payment, accrued vacation or other amounts in connection with any termination of your employment or attributable to the period after termination.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409A</w:t>
      </w:r>
      <w:r>
        <w:rPr>
          <w:rFonts w:ascii="Arial" w:cs="Arial" w:eastAsia="Arial" w:hAnsi="Arial"/>
          <w:sz w:val="18"/>
          <w:szCs w:val="18"/>
          <w:color w:val="auto"/>
        </w:rPr>
        <w:t>. 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Offer Letter (or referenced in this Offer Letter) are intended to constitute separate payments for purposes of Section 1.409A-2(b)(2) of the regulations under Code Section 409A.</w:t>
      </w:r>
    </w:p>
    <w:p>
      <w:pPr>
        <w:spacing w:after="0" w:line="1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u w:val="single" w:color="auto"/>
          <w:color w:val="auto"/>
        </w:rPr>
        <w:t>Required I-9 Documentation.</w:t>
      </w:r>
      <w:r>
        <w:rPr>
          <w:rFonts w:ascii="Arial" w:cs="Arial" w:eastAsia="Arial" w:hAnsi="Arial"/>
          <w:sz w:val="16"/>
          <w:szCs w:val="16"/>
          <w:color w:val="auto"/>
        </w:rPr>
        <w:t xml:space="preserve"> Your employment with the Company is also subject to you providing, if you have not already done so, the Company with proof of your legal right to work in the United States by completing the Form I-9 and providing Company with the accepted documents specified on the Form I-9.</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3" w:name="page14"/>
    <w:bookmarkEnd w:id="13"/>
    <w:p>
      <w:pPr>
        <w:ind w:right="140"/>
        <w:spacing w:after="0" w:line="308" w:lineRule="auto"/>
        <w:rPr>
          <w:sz w:val="20"/>
          <w:szCs w:val="20"/>
          <w:color w:val="auto"/>
        </w:rPr>
      </w:pPr>
      <w:r>
        <w:rPr>
          <w:rFonts w:ascii="Arial" w:cs="Arial" w:eastAsia="Arial" w:hAnsi="Arial"/>
          <w:sz w:val="17"/>
          <w:szCs w:val="17"/>
          <w:u w:val="single" w:color="auto"/>
          <w:color w:val="auto"/>
        </w:rPr>
        <w:t>Certifications.</w:t>
      </w:r>
      <w:r>
        <w:rPr>
          <w:rFonts w:ascii="Arial" w:cs="Arial" w:eastAsia="Arial" w:hAnsi="Arial"/>
          <w:sz w:val="17"/>
          <w:szCs w:val="17"/>
          <w:color w:val="auto"/>
        </w:rPr>
        <w:t xml:space="preserve"> By signing this letter, you certify to the Company that you are free to enter into and fully perform the duties of your position, and that you are not subject to any employment, confidentiality, non-competition or other agreement that would restrict your performance for the Company. .</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by signing this letter,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 the terms of your employment and supersede and cancel any prior oral or written representations, offers or promises made by the Company and any understandings or agreements, whether written or oral, between the Company and you.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Accepted by Employer:</w:t>
            </w:r>
          </w:p>
        </w:tc>
        <w:tc>
          <w:tcPr>
            <w:tcW w:w="2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Accepted by Employee:</w:t>
            </w:r>
          </w:p>
        </w:tc>
        <w:tc>
          <w:tcPr>
            <w:tcW w:w="2720" w:type="dxa"/>
            <w:vAlign w:val="bottom"/>
          </w:tcPr>
          <w:p>
            <w:pPr>
              <w:spacing w:after="0"/>
              <w:rPr>
                <w:sz w:val="20"/>
                <w:szCs w:val="20"/>
                <w:color w:val="auto"/>
              </w:rPr>
            </w:pPr>
          </w:p>
        </w:tc>
      </w:tr>
      <w:tr>
        <w:trPr>
          <w:trHeight w:val="439"/>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c>
          <w:tcPr>
            <w:tcW w:w="27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Terry Hamilton</w:t>
            </w:r>
          </w:p>
        </w:tc>
        <w:tc>
          <w:tcPr>
            <w:tcW w:w="2720" w:type="dxa"/>
            <w:vAlign w:val="bottom"/>
            <w:tcBorders>
              <w:bottom w:val="single" w:sz="8" w:color="auto"/>
            </w:tcBorders>
          </w:tcPr>
          <w:p>
            <w:pPr>
              <w:spacing w:after="0"/>
              <w:rPr>
                <w:sz w:val="24"/>
                <w:szCs w:val="24"/>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William J. Febbo</w:t>
            </w:r>
          </w:p>
        </w:tc>
        <w:tc>
          <w:tcPr>
            <w:tcW w:w="2720" w:type="dxa"/>
            <w:vAlign w:val="bottom"/>
          </w:tcPr>
          <w:p>
            <w:pPr>
              <w:ind w:left="740"/>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Terry Hamilton</w:t>
            </w:r>
          </w:p>
        </w:tc>
        <w:tc>
          <w:tcPr>
            <w:tcW w:w="2720" w:type="dxa"/>
            <w:vAlign w:val="bottom"/>
          </w:tcPr>
          <w:p>
            <w:pPr>
              <w:ind w:left="68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154940</wp:posOffset>
            </wp:positionV>
            <wp:extent cx="3567430" cy="951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Appoints Brian J. Dillon as SVP of Product and Strategy</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ROCHESTER, MI – June 22, 2016 – </w:t>
      </w:r>
      <w:r>
        <w:rPr>
          <w:rFonts w:ascii="Arial" w:cs="Arial" w:eastAsia="Arial" w:hAnsi="Arial"/>
          <w:sz w:val="18"/>
          <w:szCs w:val="18"/>
          <w:color w:val="auto"/>
        </w:rPr>
        <w:t>OptimizeRx Corp. (OTCQB: OPRX), a health technology software company whose premier content-delivery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enables pharmaceutical companies to provide on-demand patient-care services, has appointed Brian J. Dillon to the new position of SVP of Product and Strategy.</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“Brian brings over 25 years of experience serving companies in the healthcare and pharmaceutical industries, including a number of OptimizeRx’s clients and channel partners,” said William Febbo, OptimizeRx’s CEO. “This appointment reflects our previously announced growth initiative to build out our internal team to increase revenue and expand our reach within EHR providers and products.”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“He will be responsible for strengthening our leadership position with our existing products, as well as launching additional products and services for our pharmaceutical clients and channel partners,” continued Febbo. “His experience within health technology and service companies makes him a great fit to help expand our EHR network and service offerings.”</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Dillon commented: “OptimizeRx provides very relevant and scalable solutions to the pharmaceutical industry. I’m looking forward to working closely with management and OptimizeRx key partners, including WPP, Allscripts, Dr. First, among many others. These partnerships indicate that we are very well positioned to scale our business, which we believe will help our expanding client base to achieve better healthcare and outcomes for their patients.”</w:t>
      </w:r>
    </w:p>
    <w:p>
      <w:pPr>
        <w:spacing w:after="0" w:line="147"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Febbo added: “In the current quarter, we added two new team members to support our direct client outreach and channel partner management. We believe these additional team members will drive growth with our existing solutions, as well as handle new products and services that we plan to launch in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J. Dillon Bio</w:t>
      </w:r>
    </w:p>
    <w:p>
      <w:pPr>
        <w:spacing w:after="0" w:line="27"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Prior to joining OptimizeRx, Dillon provided consulting services focused on the HiTECH (Health Information Technology) and pharmaceutical manufacturers services sector. Earlier in his career, he served as partner at AccelaPartners, a consulting firm focused on Healthcare technology and the pharmaceutical industry. Prior to AccelaPartners, he served as regional vice president of Americas at Cegedim, an international healthcare software and services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both"/>
        <w:ind w:right="220"/>
        <w:spacing w:after="0" w:line="264" w:lineRule="auto"/>
        <w:rPr>
          <w:sz w:val="20"/>
          <w:szCs w:val="20"/>
          <w:color w:val="auto"/>
        </w:rPr>
      </w:pPr>
      <w:r>
        <w:rPr>
          <w:rFonts w:ascii="Arial" w:cs="Arial" w:eastAsia="Arial" w:hAnsi="Arial"/>
          <w:sz w:val="18"/>
          <w:szCs w:val="18"/>
          <w:color w:val="auto"/>
        </w:rPr>
        <w:t>Dillon was previously president and CEO of Intercon Systems. Before Intercon Systems, he was founder, president and CEO of Kelly Waldron, which was eventually acquired by McKessonHBOC Technology Solutions, where he grew the company’s client base from one to 14 clients with over 5,000 individual users and grew the employee base from one to 75 employees in four years.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Earlier, he served as vice president of sales at Walsh America, where he built the company’s client base from three to 13 companies over three years with the company. Before Walsh America, he founded QuadROM Software Systems Inc. (North American division absorbed into Walsh America), where he built a solid client base of more than 20 companies with over 10,000 users worldwide.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Dillon currently serves as a director at Sofame Technologies Inc. and Visio Energy.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OptimizeRx Corporation (OTCQB:OPRX)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core product, SampleMD,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over 350 other EHRs to reach over 250,000 healthcare providers. In turn, OptimizeRx promotes patient savings and support from the world’s largest pharmaceutical companies, including Pfizer, Lilly, Novartis, AstraZeneca and many others. For more information, please go to www.optimizerxcorp.com.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oprx@liolios.com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2019-12-08T17:12:15Z</dcterms:created>
  <dcterms:modified xsi:type="dcterms:W3CDTF">2019-12-08T17:12:15Z</dcterms:modified>
</cp:coreProperties>
</file>