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0"/>
                <w:szCs w:val="20"/>
                <w:color w:val="auto"/>
              </w:rPr>
            </w:pPr>
          </w:p>
        </w:tc>
      </w:tr>
      <w:tr>
        <w:trPr>
          <w:trHeight w:val="410"/>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840" w:type="dxa"/>
            <w:vAlign w:val="bottom"/>
          </w:tcPr>
          <w:p>
            <w:pPr>
              <w:spacing w:after="0"/>
              <w:rPr>
                <w:sz w:val="24"/>
                <w:szCs w:val="24"/>
                <w:color w:val="auto"/>
              </w:rPr>
            </w:pPr>
          </w:p>
        </w:tc>
        <w:tc>
          <w:tcPr>
            <w:tcW w:w="8400" w:type="dxa"/>
            <w:vAlign w:val="bottom"/>
            <w:gridSpan w:val="7"/>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November 13, 2024</w:t>
            </w:r>
          </w:p>
        </w:tc>
      </w:tr>
      <w:tr>
        <w:trPr>
          <w:trHeight w:val="414"/>
        </w:trPr>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39"/>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60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840" w:type="dxa"/>
            <w:vAlign w:val="bottom"/>
            <w:tcBorders>
              <w:top w:val="single" w:sz="8" w:color="auto"/>
            </w:tcBorders>
          </w:tcPr>
          <w:p>
            <w:pPr>
              <w:jc w:val="center"/>
              <w:ind w:left="6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13, 2024, OptimizeRx Corporation issued a press release announcing its financial results for the third quarter ended September 30, 2024. A copy of the press release is furnished with this Current Report on Form 8-K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13,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2024</w:t>
            </w: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3720" w:type="dxa"/>
            <w:vAlign w:val="bottom"/>
          </w:tcPr>
          <w:p>
            <w:pPr>
              <w:spacing w:after="0"/>
              <w:rPr>
                <w:sz w:val="17"/>
                <w:szCs w:val="17"/>
                <w:color w:val="auto"/>
              </w:rPr>
            </w:pPr>
          </w:p>
        </w:tc>
        <w:tc>
          <w:tcPr>
            <w:tcW w:w="3600" w:type="dxa"/>
            <w:vAlign w:val="bottom"/>
          </w:tcPr>
          <w:p>
            <w:pPr>
              <w:ind w:left="3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261429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Third Quarter 2024 Financial Results</w:t>
      </w:r>
    </w:p>
    <w:p>
      <w:pPr>
        <w:spacing w:after="0" w:line="229" w:lineRule="exact"/>
        <w:rPr>
          <w:sz w:val="20"/>
          <w:szCs w:val="20"/>
          <w:color w:val="auto"/>
        </w:rPr>
      </w:pPr>
    </w:p>
    <w:p>
      <w:pPr>
        <w:ind w:left="3500" w:hanging="101"/>
        <w:spacing w:after="0"/>
        <w:tabs>
          <w:tab w:leader="none" w:pos="3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revenue of $21.3 million, increasing 30% year-over-year</w:t>
      </w:r>
    </w:p>
    <w:p>
      <w:pPr>
        <w:spacing w:after="0" w:line="27" w:lineRule="exact"/>
        <w:rPr>
          <w:rFonts w:ascii="Times New Roman" w:cs="Times New Roman" w:eastAsia="Times New Roman" w:hAnsi="Times New Roman"/>
          <w:sz w:val="18"/>
          <w:szCs w:val="18"/>
          <w:color w:val="auto"/>
        </w:rPr>
      </w:pPr>
    </w:p>
    <w:p>
      <w:pPr>
        <w:ind w:left="2420" w:hanging="109"/>
        <w:spacing w:after="0"/>
        <w:tabs>
          <w:tab w:leader="none" w:pos="2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gross profit increased 37% year-over-year to $13.4 million with a gross margin of 63%</w:t>
      </w:r>
    </w:p>
    <w:p>
      <w:pPr>
        <w:spacing w:after="0" w:line="9" w:lineRule="exact"/>
        <w:rPr>
          <w:rFonts w:ascii="Times New Roman" w:cs="Times New Roman" w:eastAsia="Times New Roman" w:hAnsi="Times New Roman"/>
          <w:sz w:val="18"/>
          <w:szCs w:val="18"/>
          <w:color w:val="auto"/>
        </w:rPr>
      </w:pPr>
    </w:p>
    <w:p>
      <w:pPr>
        <w:ind w:left="4580" w:hanging="108"/>
        <w:spacing w:after="0"/>
        <w:tabs>
          <w:tab w:leader="none" w:pos="45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5 DAAP deals during Q3</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 November 13, 2024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reported results for the three months ended September 30, 2024. Quarterly comparisons are to the same year-ago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third quarter of 2024 increased 30% to $21.3 million, as compared to $16.3 million in the same year ago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third quarter of 2024 increased 37% year-over-year to $13.4 million, from $9.8 million during the third quarter of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$(9.1) million or $(0.50) per basic and diluted share in the third quarter, as compared to $(2.9) million or $(0.17) during the third quarter of 2023.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third quarter totaled $2.3 million, or $0.12 per diluted share, as compared to non-GAAP net income of $1.6 million or $0.09 per diluted share during the third quarter of 2023 (see definition of these non-GAAP measures and reconciliation to GAAP below).</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third quarter of 2024 came in at $2.7 million compared to $0.9 million in the same year ago period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totaled $16.1 million as of September 30, 2024 as compared to $13.9 million as of December 31, 2023.</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 Febbo, OptimizeRx CEO commented, “While revenue against expectations came in under, we are encouraged by the traction we are getting with our top clients and DAAP’s continued progress. We are also pleased to show we met expectations on an adjusted EBITDA basis, which speaks to the scale and leverage in our business when growth returns. We also paid down an additional $2.0 million of principal on our term loan since the end of the third quarter and were cash flow positive for the period. We continue to see enterprise and pipeline building and pharma leaning into digital and believe there is significant value in our platform and in the Company’s strategic positioning across the broader market. We now have one client that is expected to surpass $15 million with revenue in-year and multiple customers for 2025, each which is expected to generate over $10 million in revenue. All this gives us confidence in the business and its trajectory.”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“Having expanded the business from a single product to being recognized as an established market leader in digital health communications, we continue to serve top-tier clients, collaborate with scalable partners, and rely on a talented team that drives our success. Our clients are looking to scale with digital partners and our thesis around HCP and DTC on one platform is resonating. Our clients are relying on us as an innovative leader to educate HCPs and patients, while our exceptional team consistently exceeds client expectations and delivers outstanding results. None of this is reflected in our public valuation, but all of it is reflected in our day-to-day with clients, partners and teammates. While it may take a little longer than we thought to grow the business into what we believe it can become, there is a clear large market opportunity, and we are squarely focused on capturing market share as a leader in the digital marketing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Rolling</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Rolling</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Twelve</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140" w:type="dxa"/>
            <w:vAlign w:val="bottom"/>
          </w:tcPr>
          <w:p>
            <w:pPr>
              <w:spacing w:after="0"/>
              <w:rPr>
                <w:sz w:val="21"/>
                <w:szCs w:val="21"/>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9/30/2024</w:t>
            </w:r>
          </w:p>
        </w:tc>
        <w:tc>
          <w:tcPr>
            <w:tcW w:w="20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9/30/2023</w:t>
            </w:r>
          </w:p>
        </w:tc>
        <w:tc>
          <w:tcPr>
            <w:tcW w:w="160" w:type="dxa"/>
            <w:vAlign w:val="bottom"/>
          </w:tcPr>
          <w:p>
            <w:pPr>
              <w:spacing w:after="0"/>
              <w:rPr>
                <w:sz w:val="21"/>
                <w:szCs w:val="21"/>
                <w:color w:val="auto"/>
              </w:rPr>
            </w:pPr>
          </w:p>
        </w:tc>
      </w:tr>
      <w:tr>
        <w:trPr>
          <w:trHeight w:val="194"/>
        </w:trPr>
        <w:tc>
          <w:tcPr>
            <w:tcW w:w="8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3"/>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160" w:type="dxa"/>
            <w:vAlign w:val="bottom"/>
          </w:tcPr>
          <w:p>
            <w:pPr>
              <w:spacing w:after="0"/>
              <w:rPr>
                <w:sz w:val="16"/>
                <w:szCs w:val="16"/>
                <w:color w:val="auto"/>
              </w:rPr>
            </w:pPr>
          </w:p>
        </w:tc>
      </w:tr>
      <w:tr>
        <w:trPr>
          <w:trHeight w:val="238"/>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percentages)</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20 pharmaceutical manufacturers as percent of total net revenues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averages full-time employee (FTE)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full year 2024, the Company is updating its 2024 guidance and expects revenue to be between $88 million and $92 million with an Adjusted EBITDA to be between $8 million and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November 13,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Toll Free:</w:t>
      </w:r>
      <w:r>
        <w:rPr>
          <w:sz w:val="20"/>
          <w:szCs w:val="20"/>
          <w:color w:val="auto"/>
        </w:rPr>
        <w:tab/>
      </w:r>
      <w:r>
        <w:rPr>
          <w:rFonts w:ascii="Times New Roman" w:cs="Times New Roman" w:eastAsia="Times New Roman" w:hAnsi="Times New Roman"/>
          <w:sz w:val="18"/>
          <w:szCs w:val="18"/>
          <w:color w:val="auto"/>
        </w:rPr>
        <w:t>1-844-825-9789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1-412-317-5180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10193688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Me Link: https://callme.viavid.com/?$Y2FsbG1lPXRydWUmcGFzc2NvZGU9JmluZm89Y29tcGFueSZyPXRydWUmYj0xNg==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https://viavid.webcasts.com/starthere.jsp?ei=1693210&amp;tp_key=d77879d241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loss and non-GAAP net loss per diluted share or non-GAAP EPS, and Adjusted EBITDA, all of which are non-GAAP financial measures.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non-GAAP net income (loss) as GAAP net loss with an adjustment, as applicable, to add back depreciation, amortization, amortization of debt issuance costs, stock-based compensation, acquisition expenses, severance expenses, income or loss related to the fair value of contingent consideration, gain or loss from the disposal of a business, asset impairment charges, other income (loss), and reversal of tax valuation allowance. Non-GAAP EPS is defined as non-GAAP net income (loss) divided by the number of weighted average shares outstanding on a diluted basis. Adjusted EBITDA is defined as GAAP net loss with an adjustment, as applicable, to add back depreciation, amortization, interest, stock-based compensation, acquisition expenses, severance expenses, income or loss related to the fair value of contingent consideration, gain or loss from the disposal of a business, asset impairment charges, other income (loss), and income taxes.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business operating results and those of other companies, as well as provides an important tool for financial and operational decision making and for evaluating the Company’s business operating results over different periods of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non-GAAP financial measures may not provide information that is directly comparable to that provided by other companies in the Company’s industry, as other companies in the industry may calculate such non-GAAP financial results differently. The Company’s non-GAAP net income (loss), non-GAAP EPS and Adjusted EBITDA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(loss), Non-GAAP EPS and Adjusted EBITDA for the three and nine months ended September 30, 2024 and 2023. Although the Company provides guidance for Adjusted EBITDA, it is not able to provide guidance to the most directly comparable GAAP measures. Reconciliations for forward-looking figures would require unreasonable efforts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We have updated the definition of “top 20 pharmaceutical manufacturers” in our key performance indicators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 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mass digital communication channels, OptimizeRx helps life sciences organizations engage and support their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seasonal trends, our ability to maintain our contracts with electronic prescription platforms, competition, and other risks summarized in the Company’s Annual Report on Form 10-K for the fiscal year ended December 31, 2023, its subsequent Quarterly Reports on Form 10-Q, and its other filings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118,132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128,894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50,734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September 30, 2024</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 December 31, 2023</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20,069,432 and 19,899,679 shares issued at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 1,741,397 shares held at September 30, 2024 and December 31, 2023.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190,793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(84,290)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114,465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126,553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21,309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59,811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43,153</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7,862</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6,531</w:t>
            </w:r>
          </w:p>
        </w:tc>
        <w:tc>
          <w:tcPr>
            <w:tcW w:w="12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22,456</w:t>
            </w:r>
          </w:p>
        </w:tc>
        <w:tc>
          <w:tcPr>
            <w:tcW w:w="20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18,094</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13,425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12,886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43,971</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39,162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1,095</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6"/>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(8,562)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(17,340)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36"/>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(9,941)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817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340" w:type="dxa"/>
            <w:vAlign w:val="bottom"/>
            <w:vMerge w:val="continue"/>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6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18,323,542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16,637,606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18,250,775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16,907,482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vMerge w:val="continue"/>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18,323,542</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16,637,606</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18,250,775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16,907,482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Loss per share – basic</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7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11,090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held-to-maturity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held-to-maturity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165,089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 including intellectual property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paid for employee withholding taxes related to the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Loan origination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long-term debt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2320"/>
        <w:spacing w:after="0" w:line="266" w:lineRule="auto"/>
        <w:rPr>
          <w:sz w:val="20"/>
          <w:szCs w:val="20"/>
          <w:color w:val="auto"/>
        </w:rPr>
      </w:pPr>
      <w:r>
        <w:rPr>
          <w:rFonts w:ascii="Times New Roman" w:cs="Times New Roman" w:eastAsia="Times New Roman" w:hAnsi="Times New Roman"/>
          <w:sz w:val="18"/>
          <w:szCs w:val="18"/>
          <w:b w:val="1"/>
          <w:bCs w:val="1"/>
          <w:color w:val="auto"/>
        </w:rPr>
        <w:t>NET INCREASE (DECREASE)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120" w:hanging="1321"/>
        <w:spacing w:after="0"/>
        <w:tabs>
          <w:tab w:leader="none" w:pos="2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—146</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—(7,522)</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(1,500)—</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(2,087)(7,969)</w:t>
      </w:r>
    </w:p>
    <w:p>
      <w:pPr>
        <w:spacing w:after="0" w:line="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2,274(8,287)</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13,85218,209</w:t>
      </w:r>
    </w:p>
    <w:p>
      <w:pPr>
        <w:spacing w:after="0" w:line="58" w:lineRule="exact"/>
        <w:rPr>
          <w:sz w:val="20"/>
          <w:szCs w:val="20"/>
          <w:color w:val="auto"/>
        </w:rPr>
      </w:pPr>
    </w:p>
    <w:p>
      <w:pPr>
        <w:spacing w:after="0"/>
        <w:tabs>
          <w:tab w:leader="none" w:pos="620" w:val="left"/>
          <w:tab w:leader="none" w:pos="13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16,126</w:t>
        <w:tab/>
        <w:t>$</w:t>
      </w:r>
      <w:r>
        <w:rPr>
          <w:sz w:val="20"/>
          <w:szCs w:val="20"/>
          <w:color w:val="auto"/>
        </w:rPr>
        <w:tab/>
      </w:r>
      <w:r>
        <w:rPr>
          <w:rFonts w:ascii="Times New Roman" w:cs="Times New Roman" w:eastAsia="Times New Roman" w:hAnsi="Times New Roman"/>
          <w:sz w:val="18"/>
          <w:szCs w:val="18"/>
          <w:color w:val="auto"/>
        </w:rPr>
        <w:t>9,923</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20" w:type="dxa"/>
            <w:vAlign w:val="bottom"/>
            <w:tcBorders>
              <w:top w:val="single" w:sz="8" w:color="CCEEFF"/>
            </w:tcBorders>
            <w:shd w:val="clear" w:color="auto" w:fill="CCEEFF"/>
          </w:tcPr>
          <w:p>
            <w:pPr>
              <w:spacing w:after="0"/>
              <w:rPr>
                <w:sz w:val="22"/>
                <w:szCs w:val="22"/>
                <w:color w:val="auto"/>
              </w:rPr>
            </w:pPr>
          </w:p>
        </w:tc>
        <w:tc>
          <w:tcPr>
            <w:tcW w:w="38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2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vMerge w:val="continue"/>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income taxes</w:t>
            </w:r>
          </w:p>
        </w:tc>
        <w:tc>
          <w:tcPr>
            <w:tcW w:w="38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86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Amortization of debt issuance costs Acquisition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21"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38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380" w:type="dxa"/>
            <w:vAlign w:val="bottom"/>
            <w:gridSpan w:val="6"/>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(9,124)</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(20,032)</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(13,424)</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-1328420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-1045210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-770890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-496570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-205105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80" w:space="200"/>
            <w:col w:w="846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Non-GAAP net income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18,400,125</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16,648,778</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18,397,699</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16,907,482</w:t>
            </w:r>
          </w:p>
        </w:tc>
        <w:tc>
          <w:tcPr>
            <w:tcW w:w="60" w:type="dxa"/>
            <w:vAlign w:val="bottom"/>
          </w:tcPr>
          <w:p>
            <w:pPr>
              <w:spacing w:after="0"/>
              <w:rPr>
                <w:sz w:val="24"/>
                <w:szCs w:val="24"/>
                <w:color w:val="auto"/>
              </w:rPr>
            </w:pP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-685165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-368300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11,090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Severance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880" w:type="dxa"/>
            <w:vAlign w:val="bottom"/>
            <w:vMerge w:val="continue"/>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87"/>
    </w:lvl>
  </w:abstractNum>
  <w:abstractNum w:abstractNumId="5">
    <w:nsid w:val="507ED7A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2024-11-13T15:31:27Z</dcterms:created>
  <dcterms:modified xsi:type="dcterms:W3CDTF">2024-11-13T15:31:27Z</dcterms:modified>
</cp:coreProperties>
</file>