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8, 2021</w:t>
      </w:r>
    </w:p>
    <w:p>
      <w:pPr>
        <w:spacing w:after="0" w:line="27" w:lineRule="exact"/>
        <w:rPr>
          <w:sz w:val="24"/>
          <w:szCs w:val="24"/>
          <w:color w:val="auto"/>
        </w:rPr>
      </w:pPr>
    </w:p>
    <w:p>
      <w:pPr>
        <w:ind w:left="88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Water Street,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Rochester, Michigan 48307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651-6568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Febbo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Water Street,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Rochester, Michigan 48307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651-6568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B. Stein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Bryan S. Keighery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Morgan, Lewis &amp; Bockius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Federal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(617) 341-7700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(617) 341-7701</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Doney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Road, Suite 165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Nevada 89113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the effectiveness of the Registration Statement.</w:t>
      </w:r>
    </w:p>
    <w:p>
      <w:pPr>
        <w:spacing w:after="0" w:line="131" w:lineRule="exact"/>
        <w:rPr>
          <w:sz w:val="24"/>
          <w:szCs w:val="24"/>
          <w:color w:val="auto"/>
        </w:rPr>
      </w:pPr>
    </w:p>
    <w:p>
      <w:pPr>
        <w:ind w:right="720" w:firstLine="648"/>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180" w:firstLine="648"/>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61" w:lineRule="exact"/>
        <w:rPr>
          <w:sz w:val="24"/>
          <w:szCs w:val="24"/>
          <w:color w:val="auto"/>
        </w:rPr>
      </w:pPr>
    </w:p>
    <w:p>
      <w:pPr>
        <w:ind w:right="280" w:firstLine="648"/>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1" w:lineRule="exact"/>
        <w:rPr>
          <w:sz w:val="24"/>
          <w:szCs w:val="24"/>
          <w:color w:val="auto"/>
        </w:rPr>
      </w:pPr>
    </w:p>
    <w:p>
      <w:pPr>
        <w:ind w:right="20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60"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720" w:firstLine="648"/>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61" w:lineRule="exact"/>
        <w:rPr>
          <w:sz w:val="24"/>
          <w:szCs w:val="24"/>
          <w:color w:val="auto"/>
        </w:rPr>
      </w:pPr>
    </w:p>
    <w:p>
      <w:pPr>
        <w:ind w:right="8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47625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75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CALCULATION OF REGISTRATION FEE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Proposed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Maximum</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 to be</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Offering</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Offering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r>
      <w:tr>
        <w:trPr>
          <w:trHeight w:val="241"/>
        </w:trPr>
        <w:tc>
          <w:tcPr>
            <w:tcW w:w="3800" w:type="dxa"/>
            <w:vAlign w:val="bottom"/>
          </w:tcPr>
          <w:p>
            <w:pPr>
              <w:spacing w:after="0"/>
              <w:rPr>
                <w:sz w:val="20"/>
                <w:szCs w:val="20"/>
                <w:color w:val="auto"/>
              </w:rPr>
            </w:pPr>
            <w:r>
              <w:rPr>
                <w:rFonts w:ascii="Arial" w:cs="Arial" w:eastAsia="Arial" w:hAnsi="Arial"/>
                <w:sz w:val="18"/>
                <w:szCs w:val="18"/>
                <w:b w:val="1"/>
                <w:bCs w:val="1"/>
                <w:color w:val="auto"/>
                <w:w w:val="90"/>
              </w:rPr>
              <w:t>Title of Each Class of Securities to be Registered</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Registered</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Price Per Unit</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Fee</w:t>
            </w:r>
          </w:p>
        </w:tc>
      </w:tr>
      <w:tr>
        <w:trPr>
          <w:trHeight w:val="216"/>
        </w:trPr>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Primary Offering of Securities:</w:t>
            </w: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$0.001 par value per share</w:t>
            </w:r>
          </w:p>
        </w:tc>
        <w:tc>
          <w:tcPr>
            <w:tcW w:w="35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Preferred Stock, $0.001 par value per share</w:t>
            </w:r>
          </w:p>
        </w:tc>
        <w:tc>
          <w:tcPr>
            <w:tcW w:w="356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35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Warrants</w:t>
            </w:r>
          </w:p>
        </w:tc>
        <w:tc>
          <w:tcPr>
            <w:tcW w:w="356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35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8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356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Secondary Offering of Common Stock:</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Common Stock, $0.001 par value per share</w:t>
            </w:r>
          </w:p>
        </w:tc>
        <w:tc>
          <w:tcPr>
            <w:tcW w:w="356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60" w:right="80" w:hanging="439"/>
        <w:spacing w:after="0" w:line="26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Omitted pursuant to Form S-3 General Instruction II.E. An unspecified number of the securities of each identified class is being registered for possible issuance from time to time at indeterminate prices. The securities being registered hereunder include an indeterminate number of securities that may be issued in primary offerings, secondary offerings or upon exercise, conversion or exchange of any securities registered hereunder that provide for exercise, conversion or exchange. Separate consideration may or may not be received for securities that are issuable upon the conversion or exercise of, or in exchange for, other securities offered hereby or that are offered in combination.</w:t>
      </w:r>
    </w:p>
    <w:p>
      <w:pPr>
        <w:spacing w:after="0" w:line="2" w:lineRule="exact"/>
        <w:rPr>
          <w:rFonts w:ascii="Arial" w:cs="Arial" w:eastAsia="Arial" w:hAnsi="Arial"/>
          <w:sz w:val="17"/>
          <w:szCs w:val="17"/>
          <w:color w:val="auto"/>
        </w:rPr>
      </w:pPr>
    </w:p>
    <w:p>
      <w:pPr>
        <w:ind w:left="460" w:right="40" w:hanging="439"/>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the Registrant is deferring payment of all registration fees, other than with respect to the secondary offering of common stock being registered concurrently. Any registration fees will be paid subsequently on a pay-as-you-go basis in accordance with Rule 457(r).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1208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OptimizeRx Corporation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From time to time, we may offer and sell any combination of the securities described in this prospectus, either individually or in combination, at prices and on terms described in one or more supplements to this prospectus. Selling stockholders to be named in a supplement to this prospectus may also from time to time offer and sell shares of our common stock, in one or more offerings.</w:t>
      </w:r>
    </w:p>
    <w:p>
      <w:pPr>
        <w:spacing w:after="0" w:line="18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may also offer securities as may be issuable upon conversion, redemption, repurchase, exchange or exercise of any securities registered hereunder, including any applicable anti-dilution provisions. We or any selling stockholder may sell the securities to or through underwriters and also to other purchasers or through agents, on a continuous or delayed basis. The names of any underwriters or agents, and any fees, conversions, or discount arrangements will be set forth in the applicable prospectus supplement accompanying this prospectus. The price to the public of such securities and the net proceeds that we or the selling stockholders expect to receive from such sale will also be set forth in a prospectus supplement. Unless the applicable prospectus supplement provides otherwise, we will not receive any proceeds from the sale of securities by selling stockholders.</w:t>
      </w:r>
    </w:p>
    <w:p>
      <w:pPr>
        <w:spacing w:after="0" w:line="16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This prospectus provides a general description of the securities we may offer and the common stock the selling stockholders may offer. We will provide the specific terms of these offerings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 </w:t>
      </w:r>
      <w:r>
        <w:rPr>
          <w:rFonts w:ascii="Arial" w:cs="Arial" w:eastAsia="Arial" w:hAnsi="Arial"/>
          <w:sz w:val="17"/>
          <w:szCs w:val="17"/>
          <w:b w:val="1"/>
          <w:bCs w:val="1"/>
          <w:color w:val="auto"/>
        </w:rPr>
        <w:t>This prospectus may not be used to</w:t>
      </w:r>
      <w:r>
        <w:rPr>
          <w:rFonts w:ascii="Arial" w:cs="Arial" w:eastAsia="Arial" w:hAnsi="Arial"/>
          <w:sz w:val="17"/>
          <w:szCs w:val="17"/>
          <w:color w:val="auto"/>
        </w:rPr>
        <w:t xml:space="preserve"> </w:t>
      </w:r>
      <w:r>
        <w:rPr>
          <w:rFonts w:ascii="Arial" w:cs="Arial" w:eastAsia="Arial" w:hAnsi="Arial"/>
          <w:sz w:val="17"/>
          <w:szCs w:val="17"/>
          <w:b w:val="1"/>
          <w:bCs w:val="1"/>
          <w:color w:val="auto"/>
        </w:rPr>
        <w:t>consummate a sale of securities unless it is accompanied by the applicable prospectus supplement.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“OPRX.”</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You should review carefully the risks and uncertainties described under the heading “Risk Factors” contained in this prospectus beginning on page 2 and any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18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340" w:type="dxa"/>
            <w:vAlign w:val="bottom"/>
          </w:tcPr>
          <w:p>
            <w:pPr>
              <w:ind w:left="49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53"/>
        </w:trPr>
        <w:tc>
          <w:tcPr>
            <w:tcW w:w="103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CAUTIONARY STATEMENT REGARDING FORWARD-LOOKING STATEMENTS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USE OF PROCEEDS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SECURITIES WE MAY OFFER</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DESCRIPTION OF CAPITAL STOCK</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DEBT SECURITIES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WARRANTS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DESCRIPTION OF UNITS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SELLING STOCKHOLDERS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PLAN OF DISTRIBUTION</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MATTERS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EXPERTS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WHERE YOU CAN FIND MORE INFORMATION</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INCORPORATION OF CERTAIN INFORMATION BY REFERENCE</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Securities and Exchange Commission, or SEC, using a “shelf” registration process as a “well-known seasoned issuer” as defined in Rule 405 under the Securities Act of 1933, as amended, or the Securities Act. Under this shelf registration statement, we may sell common stock, preferred stock, various series of debt securities, or warrants to purchase any of such securities, either individually or as units in combination with other securities described in this prospectus, in one or more offerings from time to time. Selling stockholders may offer and sell, in one or more offerings, shares of our common stock as described in this prospectus or the applicable prospectus supplement. There is no limit on the aggregate amount of the securities that we or selling stockholders may offer pursuant to the registration statement of which this prospectus is a part. This prospectus provides you with a general description of the securities we, and the common stock selling stockholders, may offer.</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Each time we sell any type or series of securities, or selling stockholders offer common stock, under this prospectus, we will provide a prospectus supplement that will include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we urge you to carefully read this prospectus, the applicable prospectus supplement and any related free writing prospectuses we have authorized for use in connection with a specific offering, together with the additional information incorporated herein and therein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This prospectus may not be used to consummate a sale of securities unless it is accompanied by a prospectus supplement.</w:t>
      </w:r>
    </w:p>
    <w:p>
      <w:pPr>
        <w:spacing w:after="0" w:line="24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prospectus supplement or any related free writing prospectus, or the time of any sale of a security.</w:t>
      </w:r>
    </w:p>
    <w:p>
      <w:pPr>
        <w:spacing w:after="0" w:line="187"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This prospectus includes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under the heading “Where You Can Find More Information.”</w:t>
      </w:r>
    </w:p>
    <w:p>
      <w:pPr>
        <w:spacing w:after="0" w:line="171"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Unless otherwise stated, all references to “us,” “our,” “OPRX,” “OptimizeRx,” “we,” the “Company” and similar designations refer to OptimizeRx Corporation. Our principal executive offices are located at 400 Water Street, Suite 200, Rochester, MI 48307, and our telephone number is (248) 651-6568.</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23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4230370"/>
                    </a:xfrm>
                    <a:prstGeom prst="rect">
                      <a:avLst/>
                    </a:prstGeom>
                    <a:noFill/>
                  </pic:spPr>
                </pic:pic>
              </a:graphicData>
            </a:graphic>
          </wp:anchor>
        </w:drawing>
        <w:t>PROSPECTUS SUMMARY</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The following summary highlights selected information contained or incorporated by reference elsewhere in this prospectus and does not contain all of the information that you should consider in making your investment decision. Before investing in our securities, you should carefully read this entire prospectus, the applicable prospectus supplement and any related free writing prospectus, including the information under the caption “Risk Factors” herein and the applicable prospectus supplement and under similar headings in the other documents that are incorporated by reference into this prospectus. You should also carefully read the other information incorporated by reference into this prospectus, including our financial statements and the related notes, and the exhibits to the registration statement of which this prospectus is a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are a Nevada corporation organized in September 2008. Our principal executive offices are located at 400 Water Street, Suite 200, Rochester, MI 48307, and our telephone number is (248) 651-6568. Our corporate website address is </w:t>
      </w:r>
      <w:r>
        <w:rPr>
          <w:rFonts w:ascii="Arial" w:cs="Arial" w:eastAsia="Arial" w:hAnsi="Arial"/>
          <w:sz w:val="18"/>
          <w:szCs w:val="18"/>
          <w:i w:val="1"/>
          <w:iCs w:val="1"/>
          <w:color w:val="auto"/>
        </w:rPr>
        <w:t>www.optimizerx.com</w:t>
      </w:r>
      <w:r>
        <w:rPr>
          <w:rFonts w:ascii="Arial" w:cs="Arial" w:eastAsia="Arial" w:hAnsi="Arial"/>
          <w:sz w:val="18"/>
          <w:szCs w:val="18"/>
          <w:color w:val="auto"/>
        </w:rPr>
        <w:t>. Information contained on or accessible through our website is not a part of this prospectus, and the inclusion of our website address in this prospectus is an inactive textual reference only.</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20" w:top="999" w:right="5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carefully consider the risks described in the documents incorporated by reference in this prospectus and any applicable prospectus supplement and any related free writing prospectus, as well as other information we include or incorporate by reference into this prospectus and any applicable prospectus supplement, before making an investment decision. Our business, financial condition or results of operations could be materially adversely affected by any of these risks. The trading price of our securities could decline due to the occurrence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in our most recent annual report on Form 10-K and our quarterly reports on Form 10-Q, each on file with the SEC and any amendments thereto reflected in subsequent filings with the SEC, all of which are incorporated by reference into this prospectus in their entirety, together with other information in this prospectus, the documents incorporated by reference and any free writing prospectus that we may authorize for use in connection with a specific offering.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This prospectus and the documents incorporated by reference herein include statements that express our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They appear in a number of places throughout this prospectus and the documents incorporated by reference herein and include statements regarding our intentions, beliefs or current expectations concerning, among other things, the impact on our business and the global economy as a result of the COVID-19 pandemic, our results of operations, financial condition, liquidity, prospects, growth, strategies and the industries in which we and our partners operate.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Important factors that could cause actual results to differ materially from those indicated in the forward-looking statements will be discussed in greater detail in any applicable prospectus supplement.</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above is not a complete list of factors or events that could cause actual results to differ from our expectations, and it is not possible for us to predict all of them. Important factors that could cause actual results to differ materially from our expectations are more fully described in our other filings with the SEC, including in the “Risk Factors” section of our most recent Annual Report on Form 10-K and in subsequent Quarterly Reports on Form 10-Q, each of which are incorporated by reference in this prospectus, and in the “Risk Factors” section in the applicable prospectus supplement. See “Where You Can Find More Information.”</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prospectus and in the documents incorporated by reference herein. In addition, even if our results of operations, financial condition and liquidity, and the development of the industry in which we operate, are consistent with the forward-looking statements contained in this prospectus and in the documents incorporated by reference herein, those results or developments may not be indicative of results or developments in subsequent periods.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right="160" w:firstLine="648"/>
        <w:spacing w:after="0" w:line="259" w:lineRule="auto"/>
        <w:rPr>
          <w:sz w:val="20"/>
          <w:szCs w:val="20"/>
          <w:color w:val="auto"/>
        </w:rPr>
      </w:pPr>
      <w:r>
        <w:rPr>
          <w:rFonts w:ascii="Arial" w:cs="Arial" w:eastAsia="Arial" w:hAnsi="Arial"/>
          <w:sz w:val="18"/>
          <w:szCs w:val="18"/>
          <w:color w:val="auto"/>
        </w:rPr>
        <w:t>Given these risks and uncertainties, you are cautioned not to place undue reliance on these forward-looking statements. Any forward-looking statement that we make in this prospectus and in the documents incorporated by reference herein speaks only as of the date of such statement, and we undertake no obligation to update any forward-looking statements or to publicly announce the results of any revisions to any of those statements to reflect future events or developments, except as required by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Except as described in any applicable prospectus supplement or in any related free writing prospectuses we may authorize for use in connection with a specific offering, we currently intend to use the net proceeds from the sale of the securities offered by us hereunder, if any, for working capital and general corporate purposes, including selling, general and administrative expenses. As of the date of this prospectus, we cannot specify with certainty all of the particular uses for the net proceeds to us from the sale of the securities offered by us hereunder. We will set forth in the applicable prospectus supplement or free writing prospectus our intended use for the net proceeds received from the sale of any securities sold pursuant to the prospectus supplement or free writing prospectus.</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Shares of our common stock may be offered by selling stockholders under an applicable prospectus supplement to this prospectus. Unless the applicable prospectus supplement provides otherwise, we will not receive any of the proceeds from the sale or other disposition of shares of our common stock sold by selling stockholders in any offering by them.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offer shares of our common stock and preferred stock, various series of warrants to purchase common stock or preferred stock, debt securities, in one or more series, as either senior or subordinated debt or as senior or subordinated convertible debt, units or any combination thereof, and any selling stockholder may offer shares of our common stock, from time to time in one or more offerings under this prospectus at prices and on terms to be determined at the time of any offering. This prospectus provides you with a general description of the securities we and any selling stockholder may offer. Each time we or any selling stockholder offer a type or series of securities under this prospectus, we will provide a prospectus supplement or free writing prospectus, or both, that will describe the specific amounts, prices and other important terms of the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The following description is a summary and does not purport to be complete. It is subject to, and qualified in its entirety by reference to, our Articles of Incorporation and our Amended and Restated Bylaws (our “Bylaws”), each of which are incorporated by reference as an exhibit to the Registration Statement on Form S-3 of which this prospectus is a part. The terms of these securities also may be affected by Nevada law.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Articles of Incorporation provides for authorized capital stock of 166,666,667 shares of common stock, par value $0.001 per share, and 10,000,000 shares of undesignated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6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The number of shares constituting that series and the distinctive designation of that series, which may be by distinguishing number, letter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right="280" w:firstLine="65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Whether that series will have voting rights, in addition to the voting rights provided by law, and, if so, the terms of such voting rights;</w:t>
      </w:r>
    </w:p>
    <w:p>
      <w:pPr>
        <w:spacing w:after="0" w:line="236" w:lineRule="exact"/>
        <w:rPr>
          <w:rFonts w:ascii="Arial" w:cs="Arial" w:eastAsia="Arial" w:hAnsi="Arial"/>
          <w:sz w:val="17"/>
          <w:szCs w:val="17"/>
          <w:color w:val="auto"/>
        </w:rPr>
      </w:pPr>
    </w:p>
    <w:p>
      <w:pPr>
        <w:ind w:right="20" w:firstLine="65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right="120" w:firstLine="656"/>
        <w:spacing w:after="0" w:line="263"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3" w:lineRule="exact"/>
        <w:rPr>
          <w:rFonts w:ascii="Arial" w:cs="Arial" w:eastAsia="Arial" w:hAnsi="Arial"/>
          <w:sz w:val="18"/>
          <w:szCs w:val="18"/>
          <w:color w:val="auto"/>
        </w:rPr>
      </w:pPr>
    </w:p>
    <w:p>
      <w:pPr>
        <w:ind w:right="260" w:firstLine="65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right="60" w:firstLine="65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have entered into indemnification agreements with our current directors and executive officers and expect to enter into a similar agreement with any new directors or executive officers. We also maintain customary directors’ and officers’ liability insurance policies that provide coverage to our directors and officers against loss arising from claims made by reason of breach of duty or other wrongful act and to us with respect to indemnification payments that we may make to directors and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Empire Stock Transfer, 1859 Whitney Mesa Dr, Henderson, NV 89014, telephone: (702) 974-1444.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shares of common stock are listed on the Nasdaq Capital Market under the symbol “OPRX.”</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2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As required by Federal law for all bonds and notes of companies that are publicly offered, any debt securities we issue will be governed by a document called an “indenture,” the forms of which are filed as an exhibit to the registration statement of which this prospectus forms a part. We have summarized the general features of the debt securities to be governed by the indentures. The summary is not complete. An indenture is a contract between us and a financial institution acting as trustee on behalf of the holders of the debt securities, and is subject to and governed by the Trust Indenture Act of 1939, as amended, or the Trust Indenture Act. The trustee has two main roles. First, the trustee can enforce holders' rights against us if we default. There are some limitations on the extent to which the trustee acts on holders' behalf, described in the second paragraph under “Description of Debt Securities— Events of Default.” Second, the trustee performs certain administrative duties, such as sending interest and principal payments to holders.</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will issue any senior or subordinated debt securities under a senior or subordinated indenture, as applicable, that we will enter into with the trustee named in the subordinated indenture. We have filed a form of senior indenture and a form of subordinated indenture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The indentures will be qualified under the Trust Indenture Act.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prospectus supplement will describe the particular terms of any series of debt securities we may issue, including some or all of the following:</w:t>
      </w:r>
    </w:p>
    <w:p>
      <w:pPr>
        <w:spacing w:after="0" w:line="24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225" w:lineRule="exact"/>
        <w:rPr>
          <w:rFonts w:ascii="Arial" w:cs="Arial" w:eastAsia="Arial" w:hAnsi="Arial"/>
          <w:sz w:val="18"/>
          <w:szCs w:val="18"/>
          <w:color w:val="auto"/>
        </w:rPr>
      </w:pPr>
    </w:p>
    <w:p>
      <w:pPr>
        <w:ind w:left="980" w:right="24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discussion of certain U.S. Federal income tax considerations, including those related to original issue discount, if applicable;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8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jc w:val="both"/>
        <w:ind w:right="100" w:firstLine="648"/>
        <w:spacing w:after="0" w:line="286" w:lineRule="auto"/>
        <w:rPr>
          <w:sz w:val="20"/>
          <w:szCs w:val="20"/>
          <w:color w:val="auto"/>
        </w:rPr>
      </w:pPr>
      <w:r>
        <w:rPr>
          <w:rFonts w:ascii="Arial" w:cs="Arial" w:eastAsia="Arial" w:hAnsi="Arial"/>
          <w:sz w:val="17"/>
          <w:szCs w:val="17"/>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6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2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170"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Event of Default occurs in respect of debt securities of the series described in the prospectus supplement.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right="520" w:firstLine="648"/>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225"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225" w:lineRule="exact"/>
        <w:rPr>
          <w:rFonts w:ascii="Arial" w:cs="Arial" w:eastAsia="Arial" w:hAnsi="Arial"/>
          <w:sz w:val="18"/>
          <w:szCs w:val="18"/>
          <w:color w:val="auto"/>
        </w:rPr>
      </w:pPr>
    </w:p>
    <w:p>
      <w:pPr>
        <w:ind w:left="980" w:right="400" w:hanging="324"/>
        <w:spacing w:after="0" w:line="182" w:lineRule="auto"/>
        <w:tabs>
          <w:tab w:leader="none" w:pos="980" w:val="left"/>
        </w:tabs>
        <w:numPr>
          <w:ilvl w:val="0"/>
          <w:numId w:val="6"/>
        </w:numPr>
        <w:rPr>
          <w:rFonts w:ascii="Arial" w:cs="Arial" w:eastAsia="Arial" w:hAnsi="Arial"/>
          <w:sz w:val="34"/>
          <w:szCs w:val="34"/>
          <w:color w:val="auto"/>
          <w:vertAlign w:val="subscript"/>
        </w:rPr>
      </w:pPr>
      <w:r>
        <w:rPr>
          <w:rFonts w:ascii="Arial" w:cs="Arial" w:eastAsia="Arial" w:hAnsi="Arial"/>
          <w:sz w:val="17"/>
          <w:szCs w:val="17"/>
          <w:color w:val="auto"/>
        </w:rPr>
        <w:t>the holders of a majority in principal amount of the debt securities must not have given the trustee a direction inconsistent with the above notice during that 60-day period.</w:t>
      </w:r>
    </w:p>
    <w:p>
      <w:pPr>
        <w:spacing w:after="0" w:line="203"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Merger or Consolidation</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24" w:lineRule="exact"/>
        <w:rPr>
          <w:sz w:val="20"/>
          <w:szCs w:val="20"/>
          <w:color w:val="auto"/>
        </w:rPr>
      </w:pPr>
    </w:p>
    <w:p>
      <w:pPr>
        <w:ind w:left="980" w:right="60" w:hanging="324"/>
        <w:spacing w:after="0" w:line="275"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17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any premium payable upon a change of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the place or currency of payment on a debt security (except as otherwise described in the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248" w:lineRule="exact"/>
        <w:rPr>
          <w:rFonts w:ascii="Arial" w:cs="Arial" w:eastAsia="Arial" w:hAnsi="Arial"/>
          <w:sz w:val="16"/>
          <w:szCs w:val="16"/>
          <w:color w:val="auto"/>
        </w:rPr>
      </w:pPr>
    </w:p>
    <w:p>
      <w:pPr>
        <w:ind w:left="980" w:right="4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170" w:lineRule="exact"/>
        <w:rPr>
          <w:sz w:val="20"/>
          <w:szCs w:val="20"/>
          <w:color w:val="auto"/>
        </w:rPr>
      </w:pPr>
    </w:p>
    <w:p>
      <w:pPr>
        <w:ind w:left="980" w:right="3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188" w:lineRule="exact"/>
        <w:rPr>
          <w:sz w:val="20"/>
          <w:szCs w:val="20"/>
          <w:color w:val="auto"/>
        </w:rPr>
      </w:pPr>
    </w:p>
    <w:p>
      <w:pPr>
        <w:ind w:left="980" w:right="2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83"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must deliver to the trustee certain documentation stating that all conditions precedent to covenant defeasance have been complied with.</w:t>
      </w:r>
    </w:p>
    <w:p>
      <w:pPr>
        <w:spacing w:after="0" w:line="24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Defeasance</w:t>
      </w:r>
    </w:p>
    <w:p>
      <w:pPr>
        <w:spacing w:after="0" w:line="22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65" w:lineRule="exact"/>
        <w:rPr>
          <w:sz w:val="20"/>
          <w:szCs w:val="20"/>
          <w:color w:val="auto"/>
        </w:rPr>
      </w:pPr>
    </w:p>
    <w:p>
      <w:pPr>
        <w:ind w:left="980" w:right="20" w:hanging="324"/>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83"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192"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firstLine="648"/>
        <w:spacing w:after="0" w:line="279" w:lineRule="auto"/>
        <w:rPr>
          <w:sz w:val="20"/>
          <w:szCs w:val="20"/>
          <w:color w:val="auto"/>
        </w:rPr>
      </w:pPr>
      <w:r>
        <w:rPr>
          <w:rFonts w:ascii="Arial" w:cs="Arial" w:eastAsia="Arial" w:hAnsi="Arial"/>
          <w:sz w:val="17"/>
          <w:szCs w:val="17"/>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9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Indebtedness” will be defined in an applicable indenture as the principal of (and premium, if any) and unpaid interest on:</w:t>
      </w:r>
    </w:p>
    <w:p>
      <w:pPr>
        <w:spacing w:after="0" w:line="225" w:lineRule="exact"/>
        <w:rPr>
          <w:sz w:val="20"/>
          <w:szCs w:val="20"/>
          <w:color w:val="auto"/>
        </w:rPr>
      </w:pPr>
    </w:p>
    <w:p>
      <w:pPr>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229"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 w:name="page21"/>
    <w:bookmarkEnd w:id="20"/>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debt securities issued with them will be separately transferable;</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5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may issue, in one or more series, units consisting of common stock, preferred stock, or warrants for the purchase of common stock or preferred stock in any combination. We urge you to read the applicable prospectus supplement and any free writing prospectus that we may authorize to be provided to you related to the series of units being offered, as well as the complete unit agreement that contains the terms of the units. We will file as exhibits to the registration statement of which this prospectus is a part, or will incorporate by reference from reports that we file with the SEC, the form of unit agreement and any supplemental agreements that describe the terms of the series of units we are offering before the issuance of the related series of units.</w:t>
      </w:r>
    </w:p>
    <w:p>
      <w:pPr>
        <w:spacing w:after="0" w:line="16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Units may be issued under a unit agreement that we enter into with a unit agent. We will indicate the name and address of the unit agent, if applicable, in the prospectus supplement relating to the particular series of units being offered.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applicable prospectus supplement may describe:</w:t>
      </w:r>
    </w:p>
    <w:p>
      <w:pPr>
        <w:spacing w:after="0" w:line="225" w:lineRule="exact"/>
        <w:rPr>
          <w:sz w:val="20"/>
          <w:szCs w:val="20"/>
          <w:color w:val="auto"/>
        </w:rPr>
      </w:pPr>
    </w:p>
    <w:p>
      <w:pPr>
        <w:ind w:left="980" w:right="5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composing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composing the units;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Selling stockholders are persons or entities that, directly or indirectly, have acquired or will from time to time acquire from us, our securities. If the registration statement of which this prospectus is a part is used by any selling stockholder for the resale of any shares of our common stock registered thereunder, information about such selling stockholder, its beneficial ownership of our securities and its relationship with us will be set forth in a supplement to this prospectus, or in one or more documents incorporated by reference into this prospectus or the applicable prospectus supplement. The applicable prospectus supplement will also disclose whether any of the selling stockholders has held any position or office with, has been employed by or otherwise has had a material relationship with us during the three years prior to the date of the applicable prospectus supplement.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any selling stockholder may sell our securities from time to time:</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hanging="324"/>
        <w:spacing w:after="0" w:line="182" w:lineRule="auto"/>
        <w:tabs>
          <w:tab w:leader="none" w:pos="980" w:val="left"/>
        </w:tabs>
        <w:numPr>
          <w:ilvl w:val="0"/>
          <w:numId w:val="18"/>
        </w:numPr>
        <w:rPr>
          <w:rFonts w:ascii="Arial" w:cs="Arial" w:eastAsia="Arial" w:hAnsi="Arial"/>
          <w:sz w:val="34"/>
          <w:szCs w:val="34"/>
          <w:color w:val="auto"/>
          <w:vertAlign w:val="subscript"/>
        </w:rPr>
      </w:pPr>
      <w:r>
        <w:rPr>
          <w:rFonts w:ascii="Arial" w:cs="Arial" w:eastAsia="Arial" w:hAnsi="Arial"/>
          <w:sz w:val="17"/>
          <w:szCs w:val="17"/>
          <w:color w:val="auto"/>
        </w:rPr>
        <w:t>in block trades in which the broker-dealer will attempt to sell the shares as agent but may position and resell a portion of the block as principal to facilitate the transaction;</w:t>
      </w:r>
    </w:p>
    <w:p>
      <w:pPr>
        <w:spacing w:after="0" w:line="203" w:lineRule="exact"/>
        <w:rPr>
          <w:rFonts w:ascii="Arial" w:cs="Arial" w:eastAsia="Arial" w:hAnsi="Arial"/>
          <w:sz w:val="34"/>
          <w:szCs w:val="34"/>
          <w:color w:val="auto"/>
          <w:vertAlign w:val="subscript"/>
        </w:rPr>
      </w:pPr>
    </w:p>
    <w:p>
      <w:pPr>
        <w:ind w:left="980" w:right="420" w:hanging="324"/>
        <w:spacing w:after="0" w:line="182" w:lineRule="auto"/>
        <w:tabs>
          <w:tab w:leader="none" w:pos="980" w:val="left"/>
        </w:tabs>
        <w:numPr>
          <w:ilvl w:val="0"/>
          <w:numId w:val="18"/>
        </w:numPr>
        <w:rPr>
          <w:rFonts w:ascii="Arial" w:cs="Arial" w:eastAsia="Arial" w:hAnsi="Arial"/>
          <w:sz w:val="34"/>
          <w:szCs w:val="34"/>
          <w:color w:val="auto"/>
          <w:vertAlign w:val="subscript"/>
        </w:rPr>
      </w:pPr>
      <w:r>
        <w:rPr>
          <w:rFonts w:ascii="Arial" w:cs="Arial" w:eastAsia="Arial" w:hAnsi="Arial"/>
          <w:sz w:val="17"/>
          <w:szCs w:val="17"/>
          <w:color w:val="auto"/>
        </w:rPr>
        <w:t>in “at the market offerings,” within the meaning of Rule 415(a)(4) of the Securities Act, to or through a market maker or into an existing trading market, on an exchange or otherwise;</w:t>
      </w:r>
    </w:p>
    <w:p>
      <w:pPr>
        <w:spacing w:after="0" w:line="203" w:lineRule="exact"/>
        <w:rPr>
          <w:rFonts w:ascii="Arial" w:cs="Arial" w:eastAsia="Arial" w:hAnsi="Arial"/>
          <w:sz w:val="34"/>
          <w:szCs w:val="34"/>
          <w:color w:val="auto"/>
          <w:vertAlign w:val="subscript"/>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law.</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or selling stockholders may directly solicit offers to purchase securities, or agents may be designated to solicit such offers. In any applicable prospectus supplement relating to such offering, we will name any agent that could be viewed as an underwriter under the Securities Act and describe any commissions that we or selling stockholders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distribution of our securities stock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with respect to a particular offering) will describe the terms of the offering of our securities, including the following:</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or names of the agent or any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or names of the selling stockholders, if any;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public offering or purchase price of the securities or other consideration therefor, and the proceeds, if any, we will receive from the sale;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or any selling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agency fees or underwriting discounts and commissions to be allowed or paid to the agent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will be listed.</w:t>
      </w:r>
    </w:p>
    <w:p>
      <w:pPr>
        <w:spacing w:after="0" w:line="22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If any underwriters or agents are used in the sale of our securities in respect of which this prospectus is delivered, we or selling stockholders will enter into an underwriting agreement, sales agreement or other agreement with them at the time of sale to them, and we will set forth in the applicable prospectus supplement relating to such offering the names of the underwriters or agents and the terms of the related agreement with them.</w:t>
      </w:r>
    </w:p>
    <w:p>
      <w:pPr>
        <w:spacing w:after="0" w:line="1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offer the securities, and selling stockholders may sell shares of our common stock, to the public through underwriting syndicates represented by managing underwriters or by underwriters without a syndicate. In connection with the offering of securities, we or selling stockholders may grant to the underwriters an option to purchase additional securities with an additional underwriting commission, as may be set forth in the applicable prospectus supplement.</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If a dealer is used in the sale of the securities in respect of which the prospectus is delivered, we, a selling stockholder, or an underwriter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6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We or selling stockholders may provide agents and underwriters with indemnification against civil liabilities, including liabilities under the Securities Act, or contribution with respect to payments that the agents or underwriters may make with respect to those liabilities.</w:t>
      </w:r>
    </w:p>
    <w:p>
      <w:pPr>
        <w:spacing w:after="0" w:line="14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Selling stockholders may be deemed to be underwriters under the Securities Act in connection with the common stock they resell and any profits on the sales may be deemed to be underwriting discounts and commissions under the Securities Act.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so indicated in the applicable prospectus supplement, we or selling stockholders will authorize underwriters or other persons acting as agents to solicit offers by certain institutions to purchase securities from us or selling stockholders pursuant to delayed delivery contracts providing for payment and delivery on the date stated in the applicable prospectus supplement. Each contract will be for an amount not less than, and the aggregate amount of securities sold pursuant to such contracts shall not be less nor more than, the respective amounts stated in the applicable prospectus supplement. Institutions with whom the contracts, when authorized, may be made include commercial and savings banks, insurance companies, pension funds, investment companies, educational and charitable institutions and other institutions. Delayed delivery contracts will not be subject to any conditions except that:</w:t>
      </w:r>
    </w:p>
    <w:p>
      <w:pPr>
        <w:spacing w:after="0" w:line="164" w:lineRule="exact"/>
        <w:rPr>
          <w:sz w:val="20"/>
          <w:szCs w:val="20"/>
          <w:color w:val="auto"/>
        </w:rPr>
      </w:pPr>
    </w:p>
    <w:p>
      <w:pPr>
        <w:ind w:left="980" w:right="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ind w:firstLine="648"/>
        <w:spacing w:after="0" w:line="257" w:lineRule="auto"/>
        <w:rPr>
          <w:sz w:val="20"/>
          <w:szCs w:val="20"/>
          <w:color w:val="auto"/>
        </w:rPr>
      </w:pPr>
      <w:r>
        <w:rPr>
          <w:rFonts w:ascii="Arial" w:cs="Arial" w:eastAsia="Arial" w:hAnsi="Arial"/>
          <w:sz w:val="18"/>
          <w:szCs w:val="18"/>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selling stockholders or one or more of our respective affiliates in the ordinary course of business for which they receive compensation.</w:t>
      </w:r>
    </w:p>
    <w:p>
      <w:pPr>
        <w:spacing w:after="0" w:line="18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order to facilitate the offering of our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our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Rule 15c6-1 of the Securities Exchange Act of 1934, or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Unless otherwise indicated in the applicable prospectus supplement, the validity of the shares of common stock being offered by this prospectus will be passed upon for us by The Doney Law Firm, and for any underwriters or agents by counsel named in the applicable prospectus supplement.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consolidated financial statements of OptimizeRx Corporation as of December 31, 2019, and for the year then ended have been incorporated by reference herein in reliance upon the report, of Marcum LLP, an independent registered public accounting firm, given on the authority of said firm as experts in auditing and accounting.</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consolidated financial statements of OptimizeRx Corporation as of December 31, 2018 and for the year then ended have been incorporated by reference herein in reliance upon the report of Sadler Gibb &amp; Associates, LLC, independent registered public accounting firm, given on the authority of said firm as experts in auditing and accounting.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We are subject to the information requirements of the Exchange Act, and in accordance with the Exchange Act,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Our corporate website address is </w:t>
      </w:r>
      <w:r>
        <w:rPr>
          <w:rFonts w:ascii="Arial" w:cs="Arial" w:eastAsia="Arial" w:hAnsi="Arial"/>
          <w:sz w:val="18"/>
          <w:szCs w:val="18"/>
          <w:i w:val="1"/>
          <w:iCs w:val="1"/>
          <w:color w:val="auto"/>
        </w:rPr>
        <w:t>www.optimizerx.com</w:t>
      </w:r>
      <w:r>
        <w:rPr>
          <w:rFonts w:ascii="Arial" w:cs="Arial" w:eastAsia="Arial" w:hAnsi="Arial"/>
          <w:sz w:val="18"/>
          <w:szCs w:val="18"/>
          <w:color w:val="auto"/>
        </w:rPr>
        <w:t>. Information contained on or accessible through our website is not a part of this prospectus, and the inclusion of our website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prospectus is an inactive textual reference only.</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prospectus is part of the registration statement on Form S-3 that we filed with the SEC under the Securities Act and does not contain all of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SEC allows us to “incorporate by reference” into this prospectus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w:t>
      </w:r>
    </w:p>
    <w:p>
      <w:pPr>
        <w:spacing w:after="0" w:line="19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47">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2019, filed with the SEC on March 26, 2020 (File No. 001-38543);</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0000EE"/>
        </w:rPr>
      </w:pPr>
      <w:hyperlink r:id="rId48">
        <w:r>
          <w:rPr>
            <w:rFonts w:ascii="Arial" w:cs="Arial" w:eastAsia="Arial" w:hAnsi="Arial"/>
            <w:sz w:val="18"/>
            <w:szCs w:val="18"/>
            <w:color w:val="auto"/>
          </w:rPr>
          <w:t xml:space="preserve">our Quarterly Reports on Form 10-Q for the quarters ended March 31, 2020, June 30, 2020 and September 30, 2020, filed with the SEC on </w:t>
        </w:r>
        <w:r>
          <w:rPr>
            <w:rFonts w:ascii="Arial" w:cs="Arial" w:eastAsia="Arial" w:hAnsi="Arial"/>
            <w:sz w:val="18"/>
            <w:szCs w:val="18"/>
            <w:u w:val="single" w:color="auto"/>
            <w:color w:val="0000EE"/>
          </w:rPr>
          <w:t>May 6,</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9">
        <w:r>
          <w:rPr>
            <w:rFonts w:ascii="Arial" w:cs="Arial" w:eastAsia="Arial" w:hAnsi="Arial"/>
            <w:sz w:val="18"/>
            <w:szCs w:val="18"/>
            <w:u w:val="single" w:color="auto"/>
            <w:color w:val="0000EE"/>
          </w:rPr>
          <w:t xml:space="preserve">August 5, 2020 </w:t>
        </w:r>
      </w:hyperlink>
      <w:hyperlink r:id="rId48">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0">
        <w:r>
          <w:rPr>
            <w:rFonts w:ascii="Arial" w:cs="Arial" w:eastAsia="Arial" w:hAnsi="Arial"/>
            <w:sz w:val="18"/>
            <w:szCs w:val="18"/>
            <w:u w:val="single" w:color="auto"/>
            <w:color w:val="0000EE"/>
          </w:rPr>
          <w:t>November 9, 2020</w:t>
        </w:r>
      </w:hyperlink>
      <w:hyperlink r:id="rId48">
        <w:r>
          <w:rPr>
            <w:rFonts w:ascii="Arial" w:cs="Arial" w:eastAsia="Arial" w:hAnsi="Arial"/>
            <w:sz w:val="18"/>
            <w:szCs w:val="18"/>
            <w:color w:val="000000"/>
          </w:rPr>
          <w:t>, respectively (File No. 001-38543);</w:t>
        </w:r>
      </w:hyperlink>
    </w:p>
    <w:p>
      <w:pPr>
        <w:spacing w:after="0" w:line="170" w:lineRule="exact"/>
        <w:rPr>
          <w:rFonts w:ascii="Arial" w:cs="Arial" w:eastAsia="Arial" w:hAnsi="Arial"/>
          <w:sz w:val="18"/>
          <w:szCs w:val="18"/>
          <w:color w:val="0000EE"/>
        </w:rPr>
      </w:pPr>
    </w:p>
    <w:p>
      <w:pPr>
        <w:ind w:left="660" w:hanging="328"/>
        <w:spacing w:after="0" w:line="254" w:lineRule="auto"/>
        <w:tabs>
          <w:tab w:leader="none" w:pos="660" w:val="left"/>
        </w:tabs>
        <w:numPr>
          <w:ilvl w:val="0"/>
          <w:numId w:val="23"/>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51">
        <w:r>
          <w:rPr>
            <w:rFonts w:ascii="Arial" w:cs="Arial" w:eastAsia="Arial" w:hAnsi="Arial"/>
            <w:sz w:val="18"/>
            <w:szCs w:val="18"/>
            <w:u w:val="single" w:color="auto"/>
            <w:color w:val="0000EE"/>
          </w:rPr>
          <w:t xml:space="preserve">January 29, 2020, </w:t>
        </w:r>
      </w:hyperlink>
      <w:hyperlink r:id="rId52">
        <w:r>
          <w:rPr>
            <w:rFonts w:ascii="Arial" w:cs="Arial" w:eastAsia="Arial" w:hAnsi="Arial"/>
            <w:sz w:val="18"/>
            <w:szCs w:val="18"/>
            <w:u w:val="single" w:color="auto"/>
            <w:color w:val="auto"/>
          </w:rPr>
          <w:t xml:space="preserve">February </w:t>
        </w:r>
        <w:r>
          <w:rPr>
            <w:rFonts w:ascii="Arial" w:cs="Arial" w:eastAsia="Arial" w:hAnsi="Arial"/>
            <w:sz w:val="18"/>
            <w:szCs w:val="18"/>
            <w:u w:val="single" w:color="auto"/>
            <w:color w:val="0000EE"/>
          </w:rPr>
          <w:t xml:space="preserve">18, 2020, </w:t>
        </w:r>
      </w:hyperlink>
      <w:hyperlink r:id="rId53">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 xml:space="preserve">2, 2020, </w:t>
        </w:r>
      </w:hyperlink>
      <w:hyperlink r:id="rId54">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 xml:space="preserve">3, 2020, </w:t>
        </w:r>
      </w:hyperlink>
      <w:hyperlink r:id="rId55">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6, 2020,</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March 9, 2020, March 10, 2020, March 11, 2020, March 12, 2020, March 16, 2020, March 18, 2020, March 25, 2020, April 2, 2020, April 6,</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 xml:space="preserve">2020, </w:t>
        </w:r>
      </w:hyperlink>
      <w:hyperlink r:id="rId57">
        <w:r>
          <w:rPr>
            <w:rFonts w:ascii="Arial" w:cs="Arial" w:eastAsia="Arial" w:hAnsi="Arial"/>
            <w:sz w:val="18"/>
            <w:szCs w:val="18"/>
            <w:u w:val="single" w:color="auto"/>
            <w:color w:val="0000EE"/>
          </w:rPr>
          <w:t xml:space="preserve">April 9, 2020, </w:t>
        </w:r>
      </w:hyperlink>
      <w:hyperlink r:id="rId58">
        <w:r>
          <w:rPr>
            <w:rFonts w:ascii="Arial" w:cs="Arial" w:eastAsia="Arial" w:hAnsi="Arial"/>
            <w:sz w:val="18"/>
            <w:szCs w:val="18"/>
            <w:u w:val="single" w:color="auto"/>
            <w:color w:val="0000EE"/>
          </w:rPr>
          <w:t xml:space="preserve">April 17, 2020, </w:t>
        </w:r>
      </w:hyperlink>
      <w:hyperlink r:id="rId59">
        <w:r>
          <w:rPr>
            <w:rFonts w:ascii="Arial" w:cs="Arial" w:eastAsia="Arial" w:hAnsi="Arial"/>
            <w:sz w:val="18"/>
            <w:szCs w:val="18"/>
            <w:u w:val="single" w:color="auto"/>
            <w:color w:val="0000EE"/>
          </w:rPr>
          <w:t xml:space="preserve">April 22, 2020, </w:t>
        </w:r>
      </w:hyperlink>
      <w:hyperlink r:id="rId60">
        <w:r>
          <w:rPr>
            <w:rFonts w:ascii="Arial" w:cs="Arial" w:eastAsia="Arial" w:hAnsi="Arial"/>
            <w:sz w:val="18"/>
            <w:szCs w:val="18"/>
            <w:u w:val="single" w:color="auto"/>
            <w:color w:val="0000EE"/>
          </w:rPr>
          <w:t xml:space="preserve">May 6, 2020, </w:t>
        </w:r>
      </w:hyperlink>
      <w:hyperlink r:id="rId61">
        <w:r>
          <w:rPr>
            <w:rFonts w:ascii="Arial" w:cs="Arial" w:eastAsia="Arial" w:hAnsi="Arial"/>
            <w:sz w:val="18"/>
            <w:szCs w:val="18"/>
            <w:u w:val="single" w:color="auto"/>
            <w:color w:val="0000EE"/>
          </w:rPr>
          <w:t xml:space="preserve">May 7, 2020, </w:t>
        </w:r>
      </w:hyperlink>
      <w:hyperlink r:id="rId62">
        <w:r>
          <w:rPr>
            <w:rFonts w:ascii="Arial" w:cs="Arial" w:eastAsia="Arial" w:hAnsi="Arial"/>
            <w:sz w:val="18"/>
            <w:szCs w:val="18"/>
            <w:u w:val="single" w:color="auto"/>
            <w:color w:val="0000EE"/>
          </w:rPr>
          <w:t xml:space="preserve">May 8, 2020, </w:t>
        </w:r>
      </w:hyperlink>
      <w:hyperlink r:id="rId63">
        <w:r>
          <w:rPr>
            <w:rFonts w:ascii="Arial" w:cs="Arial" w:eastAsia="Arial" w:hAnsi="Arial"/>
            <w:sz w:val="18"/>
            <w:szCs w:val="18"/>
            <w:u w:val="single" w:color="auto"/>
            <w:color w:val="0000EE"/>
          </w:rPr>
          <w:t xml:space="preserve">May 13, 2020, </w:t>
        </w:r>
      </w:hyperlink>
      <w:hyperlink r:id="rId64">
        <w:r>
          <w:rPr>
            <w:rFonts w:ascii="Arial" w:cs="Arial" w:eastAsia="Arial" w:hAnsi="Arial"/>
            <w:sz w:val="18"/>
            <w:szCs w:val="18"/>
            <w:u w:val="single" w:color="auto"/>
            <w:color w:val="0000EE"/>
          </w:rPr>
          <w:t>May 19, 2020</w:t>
        </w:r>
      </w:hyperlink>
      <w:hyperlink r:id="rId5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65">
        <w:r>
          <w:rPr>
            <w:rFonts w:ascii="Arial" w:cs="Arial" w:eastAsia="Arial" w:hAnsi="Arial"/>
            <w:sz w:val="18"/>
            <w:szCs w:val="18"/>
            <w:u w:val="single" w:color="auto"/>
            <w:color w:val="0000EE"/>
          </w:rPr>
          <w:t>June 1, 2020,</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June 10,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7">
        <w:r>
          <w:rPr>
            <w:rFonts w:ascii="Arial" w:cs="Arial" w:eastAsia="Arial" w:hAnsi="Arial"/>
            <w:sz w:val="18"/>
            <w:szCs w:val="18"/>
            <w:u w:val="single" w:color="auto"/>
            <w:color w:val="0000EE"/>
          </w:rPr>
          <w:t xml:space="preserve">June 26, 2020, </w:t>
        </w:r>
      </w:hyperlink>
      <w:hyperlink r:id="rId68">
        <w:r>
          <w:rPr>
            <w:rFonts w:ascii="Arial" w:cs="Arial" w:eastAsia="Arial" w:hAnsi="Arial"/>
            <w:sz w:val="18"/>
            <w:szCs w:val="18"/>
            <w:u w:val="single" w:color="auto"/>
            <w:color w:val="0000EE"/>
          </w:rPr>
          <w:t xml:space="preserve">June 29, 2020, </w:t>
        </w:r>
      </w:hyperlink>
      <w:hyperlink r:id="rId69">
        <w:r>
          <w:rPr>
            <w:rFonts w:ascii="Arial" w:cs="Arial" w:eastAsia="Arial" w:hAnsi="Arial"/>
            <w:sz w:val="18"/>
            <w:szCs w:val="18"/>
            <w:u w:val="single" w:color="auto"/>
            <w:color w:val="0000EE"/>
          </w:rPr>
          <w:t xml:space="preserve">July 7, 2020, </w:t>
        </w:r>
      </w:hyperlink>
      <w:hyperlink r:id="rId70">
        <w:r>
          <w:rPr>
            <w:rFonts w:ascii="Arial" w:cs="Arial" w:eastAsia="Arial" w:hAnsi="Arial"/>
            <w:sz w:val="18"/>
            <w:szCs w:val="18"/>
            <w:u w:val="single" w:color="auto"/>
            <w:color w:val="0000EE"/>
          </w:rPr>
          <w:t xml:space="preserve">July 10, 2020, </w:t>
        </w:r>
      </w:hyperlink>
      <w:hyperlink r:id="rId71">
        <w:r>
          <w:rPr>
            <w:rFonts w:ascii="Arial" w:cs="Arial" w:eastAsia="Arial" w:hAnsi="Arial"/>
            <w:sz w:val="18"/>
            <w:szCs w:val="18"/>
            <w:u w:val="single" w:color="auto"/>
            <w:color w:val="0000EE"/>
          </w:rPr>
          <w:t xml:space="preserve">July 22, 2020, </w:t>
        </w:r>
      </w:hyperlink>
      <w:hyperlink r:id="rId72">
        <w:r>
          <w:rPr>
            <w:rFonts w:ascii="Arial" w:cs="Arial" w:eastAsia="Arial" w:hAnsi="Arial"/>
            <w:sz w:val="18"/>
            <w:szCs w:val="18"/>
            <w:u w:val="single" w:color="auto"/>
            <w:color w:val="0000EE"/>
          </w:rPr>
          <w:t xml:space="preserve">July 28, 2020, </w:t>
        </w:r>
      </w:hyperlink>
      <w:hyperlink r:id="rId73">
        <w:r>
          <w:rPr>
            <w:rFonts w:ascii="Arial" w:cs="Arial" w:eastAsia="Arial" w:hAnsi="Arial"/>
            <w:sz w:val="18"/>
            <w:szCs w:val="18"/>
            <w:u w:val="single" w:color="auto"/>
            <w:color w:val="0000EE"/>
          </w:rPr>
          <w:t xml:space="preserve">August 7, 2020, </w:t>
        </w:r>
      </w:hyperlink>
      <w:hyperlink r:id="rId74">
        <w:r>
          <w:rPr>
            <w:rFonts w:ascii="Arial" w:cs="Arial" w:eastAsia="Arial" w:hAnsi="Arial"/>
            <w:sz w:val="18"/>
            <w:szCs w:val="18"/>
            <w:u w:val="single" w:color="auto"/>
            <w:color w:val="0000EE"/>
          </w:rPr>
          <w:t>August 20, 2020,</w:t>
        </w:r>
      </w:hyperlink>
      <w:r>
        <w:rPr>
          <w:rFonts w:ascii="Arial" w:cs="Arial" w:eastAsia="Arial" w:hAnsi="Arial"/>
          <w:sz w:val="18"/>
          <w:szCs w:val="18"/>
          <w:color w:val="0000EE"/>
        </w:rPr>
        <w:t xml:space="preserve"> </w:t>
      </w:r>
      <w:hyperlink r:id="rId75">
        <w:r>
          <w:rPr>
            <w:rFonts w:ascii="Arial" w:cs="Arial" w:eastAsia="Arial" w:hAnsi="Arial"/>
            <w:sz w:val="18"/>
            <w:szCs w:val="18"/>
            <w:u w:val="single" w:color="auto"/>
            <w:color w:val="0000EE"/>
          </w:rPr>
          <w:t xml:space="preserve">August 24, 2020, </w:t>
        </w:r>
      </w:hyperlink>
      <w:hyperlink r:id="rId76">
        <w:r>
          <w:rPr>
            <w:rFonts w:ascii="Arial" w:cs="Arial" w:eastAsia="Arial" w:hAnsi="Arial"/>
            <w:sz w:val="18"/>
            <w:szCs w:val="18"/>
            <w:u w:val="single" w:color="auto"/>
            <w:color w:val="0000EE"/>
          </w:rPr>
          <w:t xml:space="preserve">September 9, 2020, </w:t>
        </w:r>
      </w:hyperlink>
      <w:hyperlink r:id="rId77">
        <w:r>
          <w:rPr>
            <w:rFonts w:ascii="Arial" w:cs="Arial" w:eastAsia="Arial" w:hAnsi="Arial"/>
            <w:sz w:val="18"/>
            <w:szCs w:val="18"/>
            <w:u w:val="single" w:color="auto"/>
            <w:color w:val="0000EE"/>
          </w:rPr>
          <w:t xml:space="preserve">September 15, 2020, </w:t>
        </w:r>
      </w:hyperlink>
      <w:hyperlink r:id="rId78">
        <w:r>
          <w:rPr>
            <w:rFonts w:ascii="Arial" w:cs="Arial" w:eastAsia="Arial" w:hAnsi="Arial"/>
            <w:sz w:val="18"/>
            <w:szCs w:val="18"/>
            <w:u w:val="single" w:color="auto"/>
            <w:color w:val="0000EE"/>
          </w:rPr>
          <w:t xml:space="preserve">September 21, 2020, </w:t>
        </w:r>
      </w:hyperlink>
      <w:hyperlink r:id="rId79">
        <w:r>
          <w:rPr>
            <w:rFonts w:ascii="Arial" w:cs="Arial" w:eastAsia="Arial" w:hAnsi="Arial"/>
            <w:sz w:val="18"/>
            <w:szCs w:val="18"/>
            <w:u w:val="single" w:color="auto"/>
            <w:color w:val="0000EE"/>
          </w:rPr>
          <w:t xml:space="preserve">November 12, 2020, November 12, 2020, </w:t>
        </w:r>
      </w:hyperlink>
      <w:hyperlink r:id="rId80">
        <w:r>
          <w:rPr>
            <w:rFonts w:ascii="Arial" w:cs="Arial" w:eastAsia="Arial" w:hAnsi="Arial"/>
            <w:sz w:val="18"/>
            <w:szCs w:val="18"/>
            <w:u w:val="single" w:color="auto"/>
            <w:color w:val="0000EE"/>
          </w:rPr>
          <w:t>November 17, 2020,</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 xml:space="preserve">November 19, 2020, November 19, 2020, </w:t>
        </w:r>
      </w:hyperlink>
      <w:hyperlink r:id="rId82">
        <w:r>
          <w:rPr>
            <w:rFonts w:ascii="Arial" w:cs="Arial" w:eastAsia="Arial" w:hAnsi="Arial"/>
            <w:sz w:val="18"/>
            <w:szCs w:val="18"/>
            <w:u w:val="single" w:color="auto"/>
            <w:color w:val="0000EE"/>
          </w:rPr>
          <w:t xml:space="preserve">December 3, 2020, </w:t>
        </w:r>
      </w:hyperlink>
      <w:hyperlink r:id="rId83">
        <w:r>
          <w:rPr>
            <w:rFonts w:ascii="Arial" w:cs="Arial" w:eastAsia="Arial" w:hAnsi="Arial"/>
            <w:sz w:val="18"/>
            <w:szCs w:val="18"/>
            <w:u w:val="single" w:color="auto"/>
            <w:color w:val="0000EE"/>
          </w:rPr>
          <w:t xml:space="preserve">December 7, 2020, </w:t>
        </w:r>
      </w:hyperlink>
      <w:hyperlink r:id="rId84">
        <w:r>
          <w:rPr>
            <w:rFonts w:ascii="Arial" w:cs="Arial" w:eastAsia="Arial" w:hAnsi="Arial"/>
            <w:sz w:val="18"/>
            <w:szCs w:val="18"/>
            <w:u w:val="single" w:color="auto"/>
            <w:color w:val="0000EE"/>
          </w:rPr>
          <w:t xml:space="preserve">December 9, 2020, </w:t>
        </w:r>
      </w:hyperlink>
      <w:hyperlink r:id="rId85">
        <w:r>
          <w:rPr>
            <w:rFonts w:ascii="Arial" w:cs="Arial" w:eastAsia="Arial" w:hAnsi="Arial"/>
            <w:sz w:val="18"/>
            <w:szCs w:val="18"/>
            <w:u w:val="single" w:color="auto"/>
            <w:color w:val="0000EE"/>
          </w:rPr>
          <w:t xml:space="preserve">December 11, 2020, </w:t>
        </w:r>
      </w:hyperlink>
      <w:hyperlink r:id="rId86">
        <w:r>
          <w:rPr>
            <w:rFonts w:ascii="Arial" w:cs="Arial" w:eastAsia="Arial" w:hAnsi="Arial"/>
            <w:sz w:val="18"/>
            <w:szCs w:val="18"/>
            <w:u w:val="single" w:color="auto"/>
            <w:color w:val="0000EE"/>
          </w:rPr>
          <w:t>January 6, 2021,</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January 15, 2021,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8">
        <w:r>
          <w:rPr>
            <w:rFonts w:ascii="Arial" w:cs="Arial" w:eastAsia="Arial" w:hAnsi="Arial"/>
            <w:sz w:val="18"/>
            <w:szCs w:val="18"/>
            <w:u w:val="single" w:color="auto"/>
            <w:color w:val="0000EE"/>
          </w:rPr>
          <w:t xml:space="preserve">January 22, 2021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001-38543); and</w:t>
      </w:r>
    </w:p>
    <w:p>
      <w:pPr>
        <w:spacing w:after="0" w:line="194" w:lineRule="exact"/>
        <w:rPr>
          <w:rFonts w:ascii="Arial" w:cs="Arial" w:eastAsia="Arial" w:hAnsi="Arial"/>
          <w:sz w:val="18"/>
          <w:szCs w:val="18"/>
          <w:color w:val="0000EE"/>
        </w:rPr>
      </w:pPr>
    </w:p>
    <w:p>
      <w:pPr>
        <w:ind w:left="660" w:right="8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description of capital stock contained in the Registration Statement on </w:t>
      </w:r>
      <w:hyperlink r:id="rId8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SEC on June 19, 2018 (File No. 001-38543), as supplemented by the “Description of Capital Stock” found on page 4 of this base prospectus and including any amendments or reports filed for the purpose of updating such description.</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25"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Secretary</w:t>
      </w:r>
    </w:p>
    <w:p>
      <w:pPr>
        <w:spacing w:after="0" w:line="23"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OptimizeRx Corporation</w:t>
      </w:r>
    </w:p>
    <w:p>
      <w:pPr>
        <w:spacing w:after="0" w:line="9"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400 Water Street, Suite 200</w:t>
      </w:r>
    </w:p>
    <w:p>
      <w:pPr>
        <w:spacing w:after="0" w:line="9"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Rochester, MI 48307</w:t>
      </w:r>
    </w:p>
    <w:p>
      <w:pPr>
        <w:spacing w:after="0" w:line="9"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(248) 651-6568</w:t>
      </w:r>
    </w:p>
    <w:p>
      <w:pPr>
        <w:spacing w:after="0" w:line="211" w:lineRule="exact"/>
        <w:rPr>
          <w:rFonts w:ascii="Arial" w:cs="Arial" w:eastAsia="Arial" w:hAnsi="Arial"/>
          <w:sz w:val="18"/>
          <w:szCs w:val="18"/>
          <w:color w:val="0000EE"/>
        </w:rPr>
      </w:pPr>
    </w:p>
    <w:p>
      <w:pPr>
        <w:ind w:firstLine="648"/>
        <w:spacing w:after="0" w:line="342" w:lineRule="auto"/>
        <w:rPr>
          <w:sz w:val="20"/>
          <w:szCs w:val="20"/>
          <w:color w:val="auto"/>
        </w:rPr>
      </w:pPr>
      <w:r>
        <w:rPr>
          <w:rFonts w:ascii="Arial" w:cs="Arial" w:eastAsia="Arial" w:hAnsi="Arial"/>
          <w:sz w:val="16"/>
          <w:szCs w:val="16"/>
          <w:color w:val="auto"/>
        </w:rPr>
        <w:t xml:space="preserve">Copies of these filings are also available, without charge,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and on our website at </w:t>
      </w:r>
      <w:r>
        <w:rPr>
          <w:rFonts w:ascii="Arial" w:cs="Arial" w:eastAsia="Arial" w:hAnsi="Arial"/>
          <w:sz w:val="16"/>
          <w:szCs w:val="16"/>
          <w:i w:val="1"/>
          <w:iCs w:val="1"/>
          <w:color w:val="auto"/>
        </w:rPr>
        <w:t>www.optimizerx.com</w:t>
      </w:r>
      <w:r>
        <w:rPr>
          <w:rFonts w:ascii="Arial" w:cs="Arial" w:eastAsia="Arial" w:hAnsi="Arial"/>
          <w:sz w:val="16"/>
          <w:szCs w:val="16"/>
          <w:color w:val="auto"/>
        </w:rPr>
        <w:t xml:space="preserve"> as soon as reasonably practicable after they are filed electronically with the SEC. The information contained on our website is not a part of this prospectus.</w:t>
      </w:r>
    </w:p>
    <w:p>
      <w:pPr>
        <w:spacing w:after="0" w:line="333"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1409065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1845945</wp:posOffset>
            </wp:positionV>
            <wp:extent cx="5143500" cy="1208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1435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691515</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563245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1840865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sets forth the various expenses payable by us, other than underwriting discounts and commissions, in connection with the sale and distribution of the securities being registered.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6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3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Miscellaneous</w:t>
            </w:r>
          </w:p>
        </w:tc>
        <w:tc>
          <w:tcPr>
            <w:tcW w:w="36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460" w:right="420" w:hanging="439"/>
        <w:spacing w:after="0" w:line="25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registration fee applicable to amount included in prospectus for $250 million of common stock. Additional registration fees deferred pursuant to Rules 456(b) and 457(r) of the Securities Act.</w:t>
      </w:r>
    </w:p>
    <w:p>
      <w:pPr>
        <w:spacing w:after="0" w:line="1" w:lineRule="exact"/>
        <w:rPr>
          <w:sz w:val="20"/>
          <w:szCs w:val="20"/>
          <w:color w:val="auto"/>
        </w:rPr>
      </w:pPr>
    </w:p>
    <w:p>
      <w:pPr>
        <w:ind w:left="460" w:hanging="439"/>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fees are calculated based on the number of issuances and the amount of securities offered and accordingly cannot be estimated at this time.</w:t>
      </w:r>
    </w:p>
    <w:p>
      <w:pPr>
        <w:spacing w:after="0" w:line="2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a willful failure to deal fairly with the company or its shareholders in connection with a matter in which the director has a material conflict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ind w:right="340" w:firstLine="656"/>
        <w:spacing w:after="0" w:line="277" w:lineRule="auto"/>
        <w:tabs>
          <w:tab w:leader="none" w:pos="9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180" w:firstLine="648"/>
        <w:spacing w:after="0" w:line="286" w:lineRule="auto"/>
        <w:rPr>
          <w:sz w:val="20"/>
          <w:szCs w:val="20"/>
          <w:color w:val="auto"/>
        </w:rPr>
      </w:pPr>
      <w:r>
        <w:rPr>
          <w:rFonts w:ascii="Arial" w:cs="Arial" w:eastAsia="Arial" w:hAnsi="Arial"/>
          <w:sz w:val="17"/>
          <w:szCs w:val="17"/>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65" w:lineRule="exact"/>
        <w:rPr>
          <w:sz w:val="20"/>
          <w:szCs w:val="20"/>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7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maintain directors’ and officers’ liability insurance for the benefit of our directors and officers.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required to be filed as part of this registration statement are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3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60" w:type="dxa"/>
            <w:vAlign w:val="bottom"/>
            <w:gridSpan w:val="4"/>
          </w:tcPr>
          <w:p>
            <w:pPr>
              <w:ind w:left="320"/>
              <w:spacing w:after="0"/>
              <w:rPr>
                <w:sz w:val="20"/>
                <w:szCs w:val="20"/>
                <w:color w:val="auto"/>
              </w:rPr>
            </w:pPr>
            <w:r>
              <w:rPr>
                <w:rFonts w:ascii="Arial" w:cs="Arial" w:eastAsia="Arial" w:hAnsi="Arial"/>
                <w:sz w:val="18"/>
                <w:szCs w:val="18"/>
                <w:b w:val="1"/>
                <w:bCs w:val="1"/>
                <w:color w:val="auto"/>
              </w:rPr>
              <w:t>Exhibit Title</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5"/>
                <w:szCs w:val="15"/>
                <w:color w:val="auto"/>
              </w:rPr>
            </w:pPr>
          </w:p>
        </w:tc>
        <w:tc>
          <w:tcPr>
            <w:tcW w:w="10040" w:type="dxa"/>
            <w:vAlign w:val="bottom"/>
            <w:tcBorders>
              <w:bottom w:val="single" w:sz="8" w:color="0000EE"/>
            </w:tcBorders>
            <w:gridSpan w:val="5"/>
          </w:tcPr>
          <w:p>
            <w:pPr>
              <w:spacing w:after="0" w:line="17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Articles of Incorporation of OptimizeRx Corporation (incorporated by reference to Exhibit 3.1 to the Company’s Registration Statement on</w:t>
              </w:r>
            </w:hyperlink>
          </w:p>
        </w:tc>
        <w:tc>
          <w:tcPr>
            <w:tcW w:w="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Form S-1, File No. 333-155280, filed November 12, 2008)</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3.2</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Amended and Restated Bylaws of OptimizeRx Corporation (incorporated by reference to Exhibit 3.1 to the Company’s Current Report on</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7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Form 8-K, File No. 000-53605, filed June 16, 2010)</w:t>
              </w:r>
            </w:hyperlink>
          </w:p>
        </w:tc>
        <w:tc>
          <w:tcPr>
            <w:tcW w:w="618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6"/>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15"/>
                <w:szCs w:val="15"/>
                <w:color w:val="auto"/>
              </w:rPr>
            </w:pPr>
          </w:p>
        </w:tc>
        <w:tc>
          <w:tcPr>
            <w:tcW w:w="9600" w:type="dxa"/>
            <w:vAlign w:val="bottom"/>
            <w:tcBorders>
              <w:bottom w:val="single" w:sz="8" w:color="0000EE"/>
            </w:tcBorders>
            <w:gridSpan w:val="3"/>
          </w:tcPr>
          <w:p>
            <w:pPr>
              <w:spacing w:after="0" w:line="17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Certificate of Correction, filed on April 30, 2018 with the Secretary of State of the State of Nevada by the Company (incorporated by</w:t>
              </w:r>
            </w:hyperlink>
          </w:p>
        </w:tc>
        <w:tc>
          <w:tcPr>
            <w:tcW w:w="500" w:type="dxa"/>
            <w:vAlign w:val="bottom"/>
            <w:gridSpan w:val="3"/>
          </w:tcPr>
          <w:p>
            <w:pPr>
              <w:spacing w:after="0"/>
              <w:rPr>
                <w:sz w:val="15"/>
                <w:szCs w:val="15"/>
                <w:color w:val="auto"/>
              </w:rPr>
            </w:pPr>
          </w:p>
        </w:tc>
      </w:tr>
      <w:tr>
        <w:trPr>
          <w:trHeight w:val="236"/>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6"/>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reference to Exhibit 3.5 to the Company’s Annual Report on Form 10-K, File No. 001-38543, filed March 12, 2019)</w:t>
              </w:r>
            </w:hyperlink>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Form of Senior Indenture to be entered into between the registrant and a trustee acceptable to the registrant</w:t>
              </w:r>
            </w:hyperlink>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8"/>
                <w:szCs w:val="18"/>
                <w:color w:val="auto"/>
              </w:rPr>
            </w:pPr>
          </w:p>
        </w:tc>
        <w:tc>
          <w:tcPr>
            <w:tcW w:w="10100" w:type="dxa"/>
            <w:vAlign w:val="bottom"/>
            <w:gridSpan w:val="6"/>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Form of Subordinated Indenture to be entered into between the registrant and a trustee acceptable to the registrant</w:t>
              </w:r>
            </w:hyperlink>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Form of Senior Note</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Form of Subordinated Note</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Form of Warrant Agreement</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Form of Warrant Certificate</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Form of Certificate of Designations</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Form of Preferred Stock Certificate</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Form of Unit Agreement</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5"/>
              </w:rPr>
              <w:t>4.10*</w:t>
            </w: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Form of Senior Indenture to be entered into between the registrant and a trustee acceptable to the registrant</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Opinion of The Doney Law Firm</w:t>
              </w:r>
            </w:hyperlink>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18"/>
                <w:szCs w:val="18"/>
                <w:color w:val="auto"/>
              </w:rPr>
            </w:pPr>
          </w:p>
        </w:tc>
        <w:tc>
          <w:tcPr>
            <w:tcW w:w="10100" w:type="dxa"/>
            <w:vAlign w:val="bottom"/>
            <w:gridSpan w:val="6"/>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Consent of Marcum LLP</w:t>
              </w:r>
            </w:hyperlink>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23.2</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Consent of Sadler, Gibb &amp; Associates, LLC</w:t>
              </w:r>
            </w:hyperlink>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120" w:type="dxa"/>
            <w:vAlign w:val="bottom"/>
          </w:tcPr>
          <w:p>
            <w:pPr>
              <w:spacing w:after="0"/>
              <w:rPr>
                <w:sz w:val="18"/>
                <w:szCs w:val="18"/>
                <w:color w:val="auto"/>
              </w:rPr>
            </w:pPr>
          </w:p>
        </w:tc>
        <w:tc>
          <w:tcPr>
            <w:tcW w:w="10100" w:type="dxa"/>
            <w:vAlign w:val="bottom"/>
            <w:gridSpan w:val="6"/>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Consent of The Doney Law Firm (included in Exhibit 5.1)</w:t>
              </w:r>
            </w:hyperlink>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24.1</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Powers of Attorney (included in signature page)</w:t>
              </w:r>
            </w:hyperlink>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Statement of Eligibility of Trustee on Form T-1 for Senior Indenture under Trust Indenture Act of 1939</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Statement of Eligibility of Trustee on Form T-1 for Subordinated Indenture under Trust Indenture Act of 1939</w:t>
            </w:r>
          </w:p>
        </w:tc>
      </w:tr>
    </w:tbl>
    <w:p>
      <w:pPr>
        <w:spacing w:after="0" w:line="202" w:lineRule="exact"/>
        <w:rPr>
          <w:sz w:val="20"/>
          <w:szCs w:val="20"/>
          <w:color w:val="auto"/>
        </w:rPr>
      </w:pPr>
    </w:p>
    <w:p>
      <w:pPr>
        <w:ind w:left="460" w:right="70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be filed by amendment or as an exhibit to a document filed under the Securities Exchange Act of 1934, as amended, and incorporated by reference herein.</w:t>
      </w:r>
    </w:p>
    <w:p>
      <w:pPr>
        <w:spacing w:after="0" w:line="170" w:lineRule="exact"/>
        <w:rPr>
          <w:sz w:val="20"/>
          <w:szCs w:val="20"/>
          <w:color w:val="auto"/>
        </w:rPr>
      </w:pPr>
    </w:p>
    <w:p>
      <w:pPr>
        <w:ind w:left="460" w:right="58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be filed separately pursuant to Section 305(b)(2) of the Trust Indenture Act of 1939, as amended, and the appropriate rules and regulations thereunder.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377"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480" w:hanging="261"/>
        <w:spacing w:after="0"/>
        <w:tabs>
          <w:tab w:leader="none" w:pos="14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200" w:hanging="209"/>
        <w:spacing w:after="0"/>
        <w:tabs>
          <w:tab w:leader="none" w:pos="22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440" w:right="40" w:firstLine="551"/>
        <w:spacing w:after="0" w:line="291" w:lineRule="auto"/>
        <w:tabs>
          <w:tab w:leader="none" w:pos="2252" w:val="left"/>
        </w:tabs>
        <w:numPr>
          <w:ilvl w:val="2"/>
          <w:numId w:val="3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6" w:lineRule="exact"/>
        <w:rPr>
          <w:rFonts w:ascii="Arial" w:cs="Arial" w:eastAsia="Arial" w:hAnsi="Arial"/>
          <w:sz w:val="16"/>
          <w:szCs w:val="16"/>
          <w:color w:val="auto"/>
        </w:rPr>
      </w:pPr>
    </w:p>
    <w:p>
      <w:pPr>
        <w:ind w:left="1440" w:right="440" w:firstLine="551"/>
        <w:spacing w:after="0" w:line="277" w:lineRule="auto"/>
        <w:tabs>
          <w:tab w:leader="none" w:pos="230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the undertakings set forth in paragraphs (a)(1)(i), (a)(1)(ii) and (a)(1)(iii) of this section do not apply if the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71" w:lineRule="exact"/>
        <w:rPr>
          <w:sz w:val="20"/>
          <w:szCs w:val="20"/>
          <w:color w:val="auto"/>
        </w:rPr>
      </w:pPr>
    </w:p>
    <w:p>
      <w:pPr>
        <w:ind w:left="1220" w:right="140" w:hanging="1"/>
        <w:spacing w:after="0" w:line="263" w:lineRule="auto"/>
        <w:tabs>
          <w:tab w:leader="none" w:pos="14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1220" w:right="100" w:hanging="1"/>
        <w:spacing w:after="0" w:line="277" w:lineRule="auto"/>
        <w:tabs>
          <w:tab w:leader="none" w:pos="14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480" w:hanging="261"/>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440" w:right="160" w:firstLine="551"/>
        <w:spacing w:after="0" w:line="277" w:lineRule="auto"/>
        <w:tabs>
          <w:tab w:leader="none" w:pos="2206"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440" w:firstLine="551"/>
        <w:spacing w:after="0" w:line="269" w:lineRule="auto"/>
        <w:tabs>
          <w:tab w:leader="none" w:pos="2256"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 xml:space="preserve">bona fide </w:t>
      </w:r>
      <w:r>
        <w:rPr>
          <w:rFonts w:ascii="Arial" w:cs="Arial" w:eastAsia="Arial" w:hAnsi="Arial"/>
          <w:sz w:val="17"/>
          <w:szCs w:val="17"/>
          <w:color w:val="auto"/>
        </w:rPr>
        <w:t>offering thereof.</w:t>
      </w:r>
      <w:r>
        <w:rPr>
          <w:rFonts w:ascii="Arial" w:cs="Arial" w:eastAsia="Arial" w:hAnsi="Arial"/>
          <w:sz w:val="17"/>
          <w:szCs w:val="17"/>
          <w:i w:val="1"/>
          <w:iCs w:val="1"/>
          <w:color w:val="auto"/>
        </w:rPr>
        <w:t xml:space="preserve"> Provided, however</w:t>
      </w:r>
      <w:r>
        <w:rPr>
          <w:rFonts w:ascii="Arial" w:cs="Arial" w:eastAsia="Arial" w:hAnsi="Arial"/>
          <w:sz w:val="17"/>
          <w:szCs w:val="17"/>
          <w:color w:val="auto"/>
        </w:rPr>
        <w:t>, that no statement made in a registration statement or prospectus that is part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220" w:right="100" w:hanging="1"/>
        <w:spacing w:after="0" w:line="269" w:lineRule="auto"/>
        <w:tabs>
          <w:tab w:leader="none" w:pos="147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85" w:lineRule="exact"/>
        <w:rPr>
          <w:rFonts w:ascii="Arial" w:cs="Arial" w:eastAsia="Arial" w:hAnsi="Arial"/>
          <w:sz w:val="17"/>
          <w:szCs w:val="17"/>
          <w:color w:val="auto"/>
        </w:rPr>
      </w:pPr>
    </w:p>
    <w:p>
      <w:pPr>
        <w:ind w:left="1220" w:right="20" w:firstLine="3"/>
        <w:spacing w:after="0" w:line="257" w:lineRule="auto"/>
        <w:tabs>
          <w:tab w:leader="none" w:pos="14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1220" w:right="140" w:firstLine="3"/>
        <w:spacing w:after="0" w:line="263" w:lineRule="auto"/>
        <w:tabs>
          <w:tab w:leader="none" w:pos="14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and when applicable,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84" w:lineRule="exact"/>
        <w:rPr>
          <w:sz w:val="20"/>
          <w:szCs w:val="20"/>
          <w:color w:val="auto"/>
        </w:rPr>
      </w:pPr>
    </w:p>
    <w:p>
      <w:pPr>
        <w:ind w:firstLine="55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Rochester, State of Michigan on February 8, 2021.</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William J. Febbo</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the undersigned officers and directors of OptimizeRx Corporation, hereby severally constitute and appoint William Febbo and Douglas Baker,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substitutes, may lawfully do or cause to be done by virtue hereof.</w:t>
      </w:r>
    </w:p>
    <w:p>
      <w:pPr>
        <w:spacing w:after="0" w:line="178" w:lineRule="exact"/>
        <w:rPr>
          <w:sz w:val="20"/>
          <w:szCs w:val="20"/>
          <w:color w:val="auto"/>
        </w:rPr>
      </w:pPr>
    </w:p>
    <w:p>
      <w:pPr>
        <w:ind w:right="340" w:firstLine="55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c>
          <w:tcPr>
            <w:tcW w:w="120" w:type="dxa"/>
            <w:vAlign w:val="bottom"/>
          </w:tcPr>
          <w:p>
            <w:pPr>
              <w:spacing w:after="0"/>
              <w:rPr>
                <w:sz w:val="24"/>
                <w:szCs w:val="24"/>
                <w:color w:val="auto"/>
              </w:rPr>
            </w:pPr>
          </w:p>
        </w:tc>
        <w:tc>
          <w:tcPr>
            <w:tcW w:w="5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February 8,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William J. Febbo</w:t>
            </w:r>
          </w:p>
        </w:tc>
        <w:tc>
          <w:tcPr>
            <w:tcW w:w="120" w:type="dxa"/>
            <w:vAlign w:val="bottom"/>
          </w:tcPr>
          <w:p>
            <w:pPr>
              <w:spacing w:after="0"/>
              <w:rPr>
                <w:sz w:val="20"/>
                <w:szCs w:val="20"/>
                <w:color w:val="auto"/>
              </w:rPr>
            </w:pPr>
          </w:p>
        </w:tc>
        <w:tc>
          <w:tcPr>
            <w:tcW w:w="5280" w:type="dxa"/>
            <w:vAlign w:val="bottom"/>
            <w:gridSpan w:val="2"/>
          </w:tcPr>
          <w:p>
            <w:pPr>
              <w:jc w:val="center"/>
              <w:ind w:right="120"/>
              <w:spacing w:after="0" w:line="203" w:lineRule="exact"/>
              <w:rPr>
                <w:sz w:val="20"/>
                <w:szCs w:val="20"/>
                <w:color w:val="auto"/>
              </w:rPr>
            </w:pPr>
            <w:r>
              <w:rPr>
                <w:rFonts w:ascii="Arial" w:cs="Arial" w:eastAsia="Arial" w:hAnsi="Arial"/>
                <w:sz w:val="18"/>
                <w:szCs w:val="18"/>
                <w:color w:val="auto"/>
                <w:w w:val="93"/>
              </w:rPr>
              <w:t>(Principal Executive Officer)</w:t>
            </w:r>
          </w:p>
        </w:tc>
        <w:tc>
          <w:tcPr>
            <w:tcW w:w="234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c>
          <w:tcPr>
            <w:tcW w:w="120" w:type="dxa"/>
            <w:vAlign w:val="bottom"/>
          </w:tcPr>
          <w:p>
            <w:pPr>
              <w:spacing w:after="0"/>
              <w:rPr>
                <w:sz w:val="24"/>
                <w:szCs w:val="24"/>
                <w:color w:val="auto"/>
              </w:rPr>
            </w:pPr>
          </w:p>
        </w:tc>
        <w:tc>
          <w:tcPr>
            <w:tcW w:w="5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February 8,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Douglas P. Baker</w:t>
            </w:r>
          </w:p>
        </w:tc>
        <w:tc>
          <w:tcPr>
            <w:tcW w:w="120" w:type="dxa"/>
            <w:vAlign w:val="bottom"/>
          </w:tcPr>
          <w:p>
            <w:pPr>
              <w:spacing w:after="0"/>
              <w:rPr>
                <w:sz w:val="20"/>
                <w:szCs w:val="20"/>
                <w:color w:val="auto"/>
              </w:rPr>
            </w:pPr>
          </w:p>
        </w:tc>
        <w:tc>
          <w:tcPr>
            <w:tcW w:w="5280" w:type="dxa"/>
            <w:vAlign w:val="bottom"/>
            <w:gridSpan w:val="2"/>
          </w:tcPr>
          <w:p>
            <w:pPr>
              <w:jc w:val="center"/>
              <w:ind w:right="120"/>
              <w:spacing w:after="0" w:line="203" w:lineRule="exact"/>
              <w:rPr>
                <w:sz w:val="20"/>
                <w:szCs w:val="20"/>
                <w:color w:val="auto"/>
              </w:rPr>
            </w:pPr>
            <w:r>
              <w:rPr>
                <w:rFonts w:ascii="Arial" w:cs="Arial" w:eastAsia="Arial" w:hAnsi="Arial"/>
                <w:sz w:val="18"/>
                <w:szCs w:val="18"/>
                <w:color w:val="auto"/>
                <w:w w:val="93"/>
              </w:rPr>
              <w:t>(Principal Financial and Accounting Officer)</w:t>
            </w:r>
          </w:p>
        </w:tc>
        <w:tc>
          <w:tcPr>
            <w:tcW w:w="234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c>
          <w:tcPr>
            <w:tcW w:w="120" w:type="dxa"/>
            <w:vAlign w:val="bottom"/>
          </w:tcPr>
          <w:p>
            <w:pPr>
              <w:spacing w:after="0"/>
              <w:rPr>
                <w:sz w:val="24"/>
                <w:szCs w:val="24"/>
                <w:color w:val="auto"/>
              </w:rPr>
            </w:pPr>
          </w:p>
        </w:tc>
        <w:tc>
          <w:tcPr>
            <w:tcW w:w="5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Director, Chairman</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February 8,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Gus D. Halas</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Lang</w:t>
            </w:r>
          </w:p>
        </w:tc>
        <w:tc>
          <w:tcPr>
            <w:tcW w:w="120" w:type="dxa"/>
            <w:vAlign w:val="bottom"/>
          </w:tcPr>
          <w:p>
            <w:pPr>
              <w:spacing w:after="0"/>
              <w:rPr>
                <w:sz w:val="24"/>
                <w:szCs w:val="24"/>
                <w:color w:val="auto"/>
              </w:rPr>
            </w:pPr>
          </w:p>
        </w:tc>
        <w:tc>
          <w:tcPr>
            <w:tcW w:w="5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February 8,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James Lang</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c>
          <w:tcPr>
            <w:tcW w:w="120" w:type="dxa"/>
            <w:vAlign w:val="bottom"/>
          </w:tcPr>
          <w:p>
            <w:pPr>
              <w:spacing w:after="0"/>
              <w:rPr>
                <w:sz w:val="24"/>
                <w:szCs w:val="24"/>
                <w:color w:val="auto"/>
              </w:rPr>
            </w:pPr>
          </w:p>
        </w:tc>
        <w:tc>
          <w:tcPr>
            <w:tcW w:w="5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February 8,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Lynn Vos</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Spangler</w:t>
            </w:r>
          </w:p>
        </w:tc>
        <w:tc>
          <w:tcPr>
            <w:tcW w:w="120" w:type="dxa"/>
            <w:vAlign w:val="bottom"/>
          </w:tcPr>
          <w:p>
            <w:pPr>
              <w:spacing w:after="0"/>
              <w:rPr>
                <w:sz w:val="24"/>
                <w:szCs w:val="24"/>
                <w:color w:val="auto"/>
              </w:rPr>
            </w:pPr>
          </w:p>
        </w:tc>
        <w:tc>
          <w:tcPr>
            <w:tcW w:w="5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February 8,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Patrick Spangler</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Wasson</w:t>
            </w:r>
          </w:p>
        </w:tc>
        <w:tc>
          <w:tcPr>
            <w:tcW w:w="120" w:type="dxa"/>
            <w:vAlign w:val="bottom"/>
          </w:tcPr>
          <w:p>
            <w:pPr>
              <w:spacing w:after="0"/>
              <w:rPr>
                <w:sz w:val="24"/>
                <w:szCs w:val="24"/>
                <w:color w:val="auto"/>
              </w:rPr>
            </w:pPr>
          </w:p>
        </w:tc>
        <w:tc>
          <w:tcPr>
            <w:tcW w:w="5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February 8,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Greg Wasson</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ind w:left="1860"/>
              <w:spacing w:after="0"/>
              <w:rPr>
                <w:sz w:val="20"/>
                <w:szCs w:val="20"/>
                <w:color w:val="auto"/>
              </w:rPr>
            </w:pPr>
            <w:r>
              <w:rPr>
                <w:rFonts w:ascii="Arial" w:cs="Arial" w:eastAsia="Arial" w:hAnsi="Arial"/>
                <w:sz w:val="18"/>
                <w:szCs w:val="18"/>
                <w:color w:val="auto"/>
              </w:rPr>
              <w:t>II-5</w:t>
            </w: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NAME OF TRUSTEE</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Dated as of ____________, 20__</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1817370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8720" w:type="dxa"/>
            <w:vAlign w:val="bottom"/>
          </w:tcPr>
          <w:p>
            <w:pPr>
              <w:ind w:left="29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1740" w:type="dxa"/>
            <w:vAlign w:val="bottom"/>
            <w:tcBorders>
              <w:bottom w:val="single" w:sz="8" w:color="CCEEFF"/>
            </w:tcBorders>
          </w:tcPr>
          <w:p>
            <w:pPr>
              <w:spacing w:after="0"/>
              <w:rPr>
                <w:sz w:val="24"/>
                <w:szCs w:val="24"/>
                <w:color w:val="auto"/>
              </w:rPr>
            </w:pPr>
          </w:p>
        </w:tc>
        <w:tc>
          <w:tcPr>
            <w:tcW w:w="87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101.</w:t>
            </w:r>
          </w:p>
        </w:tc>
        <w:tc>
          <w:tcPr>
            <w:tcW w:w="872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102.</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Compliance Certificates and Opinions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103.</w:t>
            </w:r>
          </w:p>
        </w:tc>
        <w:tc>
          <w:tcPr>
            <w:tcW w:w="8720" w:type="dxa"/>
            <w:vAlign w:val="bottom"/>
          </w:tcPr>
          <w:p>
            <w:pPr>
              <w:ind w:left="300"/>
              <w:spacing w:after="0"/>
              <w:rPr>
                <w:sz w:val="20"/>
                <w:szCs w:val="20"/>
                <w:color w:val="auto"/>
              </w:rPr>
            </w:pPr>
            <w:r>
              <w:rPr>
                <w:rFonts w:ascii="Arial" w:cs="Arial" w:eastAsia="Arial" w:hAnsi="Arial"/>
                <w:sz w:val="18"/>
                <w:szCs w:val="18"/>
                <w:color w:val="auto"/>
              </w:rPr>
              <w:t>Form of Documents Delivered to Trustee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104.</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Acts of Holders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105.</w:t>
            </w:r>
          </w:p>
        </w:tc>
        <w:tc>
          <w:tcPr>
            <w:tcW w:w="8720" w:type="dxa"/>
            <w:vAlign w:val="bottom"/>
          </w:tcPr>
          <w:p>
            <w:pPr>
              <w:ind w:left="300"/>
              <w:spacing w:after="0"/>
              <w:rPr>
                <w:sz w:val="20"/>
                <w:szCs w:val="20"/>
                <w:color w:val="auto"/>
              </w:rPr>
            </w:pPr>
            <w:r>
              <w:rPr>
                <w:rFonts w:ascii="Arial" w:cs="Arial" w:eastAsia="Arial" w:hAnsi="Arial"/>
                <w:sz w:val="18"/>
                <w:szCs w:val="18"/>
                <w:color w:val="auto"/>
              </w:rPr>
              <w:t>Notices, etc., to Trustee and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106.</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Notice to Holders; Waiver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107.</w:t>
            </w:r>
          </w:p>
        </w:tc>
        <w:tc>
          <w:tcPr>
            <w:tcW w:w="8720" w:type="dxa"/>
            <w:vAlign w:val="bottom"/>
          </w:tcPr>
          <w:p>
            <w:pPr>
              <w:ind w:left="300"/>
              <w:spacing w:after="0"/>
              <w:rPr>
                <w:sz w:val="20"/>
                <w:szCs w:val="20"/>
                <w:color w:val="auto"/>
              </w:rPr>
            </w:pPr>
            <w:r>
              <w:rPr>
                <w:rFonts w:ascii="Arial" w:cs="Arial" w:eastAsia="Arial" w:hAnsi="Arial"/>
                <w:sz w:val="18"/>
                <w:szCs w:val="18"/>
                <w:color w:val="auto"/>
              </w:rPr>
              <w:t>Counterparts; Effect of Headings and Table of Contents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108.</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Successors and Assigns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109.</w:t>
            </w:r>
          </w:p>
        </w:tc>
        <w:tc>
          <w:tcPr>
            <w:tcW w:w="8720" w:type="dxa"/>
            <w:vAlign w:val="bottom"/>
          </w:tcPr>
          <w:p>
            <w:pPr>
              <w:ind w:left="300"/>
              <w:spacing w:after="0"/>
              <w:rPr>
                <w:sz w:val="20"/>
                <w:szCs w:val="20"/>
                <w:color w:val="auto"/>
              </w:rPr>
            </w:pPr>
            <w:r>
              <w:rPr>
                <w:rFonts w:ascii="Arial" w:cs="Arial" w:eastAsia="Arial" w:hAnsi="Arial"/>
                <w:sz w:val="18"/>
                <w:szCs w:val="18"/>
                <w:color w:val="auto"/>
              </w:rPr>
              <w:t>Severability Clause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Benefits of Indenture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111.</w:t>
            </w:r>
          </w:p>
        </w:tc>
        <w:tc>
          <w:tcPr>
            <w:tcW w:w="872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112.</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Legal Holidays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113.</w:t>
            </w:r>
          </w:p>
        </w:tc>
        <w:tc>
          <w:tcPr>
            <w:tcW w:w="8720" w:type="dxa"/>
            <w:vAlign w:val="bottom"/>
          </w:tcPr>
          <w:p>
            <w:pPr>
              <w:ind w:left="300"/>
              <w:spacing w:after="0"/>
              <w:rPr>
                <w:sz w:val="20"/>
                <w:szCs w:val="20"/>
                <w:color w:val="auto"/>
              </w:rPr>
            </w:pPr>
            <w:r>
              <w:rPr>
                <w:rFonts w:ascii="Arial" w:cs="Arial" w:eastAsia="Arial" w:hAnsi="Arial"/>
                <w:sz w:val="18"/>
                <w:szCs w:val="18"/>
                <w:color w:val="auto"/>
              </w:rPr>
              <w:t>Limited Liability; Immunity of Stockholders, Directors, Officers and Agents of the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114.</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Conflict with Trust Indenture Act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2. SECURITIES FORMS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201.</w:t>
            </w:r>
          </w:p>
        </w:tc>
        <w:tc>
          <w:tcPr>
            <w:tcW w:w="8720" w:type="dxa"/>
            <w:vAlign w:val="bottom"/>
          </w:tcPr>
          <w:p>
            <w:pPr>
              <w:ind w:left="300"/>
              <w:spacing w:after="0"/>
              <w:rPr>
                <w:sz w:val="20"/>
                <w:szCs w:val="20"/>
                <w:color w:val="auto"/>
              </w:rPr>
            </w:pPr>
            <w:r>
              <w:rPr>
                <w:rFonts w:ascii="Arial" w:cs="Arial" w:eastAsia="Arial" w:hAnsi="Arial"/>
                <w:sz w:val="18"/>
                <w:szCs w:val="18"/>
                <w:color w:val="auto"/>
              </w:rPr>
              <w:t>Forms of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202.</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of Trustee’s Certificate of Authentication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203.</w:t>
            </w:r>
          </w:p>
        </w:tc>
        <w:tc>
          <w:tcPr>
            <w:tcW w:w="8720" w:type="dxa"/>
            <w:vAlign w:val="bottom"/>
          </w:tcPr>
          <w:p>
            <w:pPr>
              <w:ind w:left="300"/>
              <w:spacing w:after="0"/>
              <w:rPr>
                <w:sz w:val="20"/>
                <w:szCs w:val="20"/>
                <w:color w:val="auto"/>
              </w:rPr>
            </w:pPr>
            <w:r>
              <w:rPr>
                <w:rFonts w:ascii="Arial" w:cs="Arial" w:eastAsia="Arial" w:hAnsi="Arial"/>
                <w:sz w:val="18"/>
                <w:szCs w:val="18"/>
                <w:color w:val="auto"/>
              </w:rPr>
              <w:t>Securities Issuable in Global Form</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3. THE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301.</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Amount Unlimited; Issuable in Series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302.</w:t>
            </w:r>
          </w:p>
        </w:tc>
        <w:tc>
          <w:tcPr>
            <w:tcW w:w="8720" w:type="dxa"/>
            <w:vAlign w:val="bottom"/>
          </w:tcPr>
          <w:p>
            <w:pPr>
              <w:ind w:left="300"/>
              <w:spacing w:after="0"/>
              <w:rPr>
                <w:sz w:val="20"/>
                <w:szCs w:val="20"/>
                <w:color w:val="auto"/>
              </w:rPr>
            </w:pPr>
            <w:r>
              <w:rPr>
                <w:rFonts w:ascii="Arial" w:cs="Arial" w:eastAsia="Arial" w:hAnsi="Arial"/>
                <w:sz w:val="18"/>
                <w:szCs w:val="18"/>
                <w:color w:val="auto"/>
              </w:rPr>
              <w:t>Denominations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303.</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Execution, Authentication, Delivery and Dating</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304.</w:t>
            </w:r>
          </w:p>
        </w:tc>
        <w:tc>
          <w:tcPr>
            <w:tcW w:w="8720" w:type="dxa"/>
            <w:vAlign w:val="bottom"/>
          </w:tcPr>
          <w:p>
            <w:pPr>
              <w:ind w:left="300"/>
              <w:spacing w:after="0"/>
              <w:rPr>
                <w:sz w:val="20"/>
                <w:szCs w:val="20"/>
                <w:color w:val="auto"/>
              </w:rPr>
            </w:pPr>
            <w:r>
              <w:rPr>
                <w:rFonts w:ascii="Arial" w:cs="Arial" w:eastAsia="Arial" w:hAnsi="Arial"/>
                <w:sz w:val="18"/>
                <w:szCs w:val="18"/>
                <w:color w:val="auto"/>
              </w:rPr>
              <w:t>Temporary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305.</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Registration, Registration of Transfer, Conversion and Exchange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306.</w:t>
            </w:r>
          </w:p>
        </w:tc>
        <w:tc>
          <w:tcPr>
            <w:tcW w:w="8720" w:type="dxa"/>
            <w:vAlign w:val="bottom"/>
          </w:tcPr>
          <w:p>
            <w:pPr>
              <w:ind w:left="300"/>
              <w:spacing w:after="0"/>
              <w:rPr>
                <w:sz w:val="20"/>
                <w:szCs w:val="20"/>
                <w:color w:val="auto"/>
              </w:rPr>
            </w:pPr>
            <w:r>
              <w:rPr>
                <w:rFonts w:ascii="Arial" w:cs="Arial" w:eastAsia="Arial" w:hAnsi="Arial"/>
                <w:sz w:val="18"/>
                <w:szCs w:val="18"/>
                <w:color w:val="auto"/>
              </w:rPr>
              <w:t>Mutilated, Destroyed, Lost and Stolen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307.</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of Interest; Interest Rights Preserved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308.</w:t>
            </w:r>
          </w:p>
        </w:tc>
        <w:tc>
          <w:tcPr>
            <w:tcW w:w="8720" w:type="dxa"/>
            <w:vAlign w:val="bottom"/>
          </w:tcPr>
          <w:p>
            <w:pPr>
              <w:ind w:left="300"/>
              <w:spacing w:after="0"/>
              <w:rPr>
                <w:sz w:val="20"/>
                <w:szCs w:val="20"/>
                <w:color w:val="auto"/>
              </w:rPr>
            </w:pPr>
            <w:r>
              <w:rPr>
                <w:rFonts w:ascii="Arial" w:cs="Arial" w:eastAsia="Arial" w:hAnsi="Arial"/>
                <w:sz w:val="18"/>
                <w:szCs w:val="18"/>
                <w:color w:val="auto"/>
              </w:rPr>
              <w:t>Persons Deemed Owners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309.</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Cancellation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SECTION 310.</w:t>
            </w:r>
          </w:p>
        </w:tc>
        <w:tc>
          <w:tcPr>
            <w:tcW w:w="8720" w:type="dxa"/>
            <w:vAlign w:val="bottom"/>
          </w:tcPr>
          <w:p>
            <w:pPr>
              <w:ind w:left="300"/>
              <w:spacing w:after="0"/>
              <w:rPr>
                <w:sz w:val="20"/>
                <w:szCs w:val="20"/>
                <w:color w:val="auto"/>
              </w:rPr>
            </w:pPr>
            <w:r>
              <w:rPr>
                <w:rFonts w:ascii="Arial" w:cs="Arial" w:eastAsia="Arial" w:hAnsi="Arial"/>
                <w:sz w:val="18"/>
                <w:szCs w:val="18"/>
                <w:color w:val="auto"/>
              </w:rPr>
              <w:t>Computation of Interest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311.</w:t>
            </w: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CUSIP Numbers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Borders>
              <w:bottom w:val="single" w:sz="8" w:color="CCEEFF"/>
            </w:tcBorders>
          </w:tcPr>
          <w:p>
            <w:pPr>
              <w:spacing w:after="0"/>
              <w:rPr>
                <w:sz w:val="20"/>
                <w:szCs w:val="20"/>
                <w:color w:val="auto"/>
              </w:rPr>
            </w:pPr>
          </w:p>
        </w:tc>
        <w:tc>
          <w:tcPr>
            <w:tcW w:w="85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4. SATISFACTION AND DISCHARGE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401.</w:t>
            </w:r>
          </w:p>
        </w:tc>
        <w:tc>
          <w:tcPr>
            <w:tcW w:w="8500" w:type="dxa"/>
            <w:vAlign w:val="bottom"/>
          </w:tcPr>
          <w:p>
            <w:pPr>
              <w:ind w:left="80"/>
              <w:spacing w:after="0"/>
              <w:rPr>
                <w:sz w:val="20"/>
                <w:szCs w:val="20"/>
                <w:color w:val="auto"/>
              </w:rPr>
            </w:pPr>
            <w:r>
              <w:rPr>
                <w:rFonts w:ascii="Arial" w:cs="Arial" w:eastAsia="Arial" w:hAnsi="Arial"/>
                <w:sz w:val="18"/>
                <w:szCs w:val="18"/>
                <w:color w:val="auto"/>
              </w:rPr>
              <w:t>Satisfaction and Discharge of Indenture</w:t>
            </w:r>
          </w:p>
        </w:tc>
        <w:tc>
          <w:tcPr>
            <w:tcW w:w="780" w:type="dxa"/>
            <w:vAlign w:val="bottom"/>
          </w:tcPr>
          <w:p>
            <w:pPr>
              <w:ind w:left="300"/>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402.</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Application of Trust Funds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30</w:t>
            </w:r>
          </w:p>
        </w:tc>
      </w:tr>
      <w:tr>
        <w:trPr>
          <w:trHeight w:val="216"/>
        </w:trPr>
        <w:tc>
          <w:tcPr>
            <w:tcW w:w="19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9"/>
              </w:rPr>
              <w:t>ARTICLE 5. REMEDIES</w:t>
            </w:r>
          </w:p>
        </w:tc>
        <w:tc>
          <w:tcPr>
            <w:tcW w:w="8500" w:type="dxa"/>
            <w:vAlign w:val="bottom"/>
            <w:shd w:val="clear" w:color="auto" w:fill="CCEEFF"/>
          </w:tcPr>
          <w:p>
            <w:pPr>
              <w:spacing w:after="0"/>
              <w:rPr>
                <w:sz w:val="18"/>
                <w:szCs w:val="18"/>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501.</w:t>
            </w:r>
          </w:p>
        </w:tc>
        <w:tc>
          <w:tcPr>
            <w:tcW w:w="850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780" w:type="dxa"/>
            <w:vAlign w:val="bottom"/>
          </w:tcPr>
          <w:p>
            <w:pPr>
              <w:ind w:left="300"/>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502.</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Acceleration of Maturity; Rescission and Annulment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32</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503.</w:t>
            </w:r>
          </w:p>
        </w:tc>
        <w:tc>
          <w:tcPr>
            <w:tcW w:w="8500" w:type="dxa"/>
            <w:vAlign w:val="bottom"/>
          </w:tcPr>
          <w:p>
            <w:pPr>
              <w:ind w:left="80"/>
              <w:spacing w:after="0"/>
              <w:rPr>
                <w:sz w:val="20"/>
                <w:szCs w:val="20"/>
                <w:color w:val="auto"/>
              </w:rPr>
            </w:pPr>
            <w:r>
              <w:rPr>
                <w:rFonts w:ascii="Arial" w:cs="Arial" w:eastAsia="Arial" w:hAnsi="Arial"/>
                <w:sz w:val="18"/>
                <w:szCs w:val="18"/>
                <w:color w:val="auto"/>
              </w:rPr>
              <w:t>Collection of Indebtedness and Suits for Enforcement by Trustee</w:t>
            </w:r>
          </w:p>
        </w:tc>
        <w:tc>
          <w:tcPr>
            <w:tcW w:w="780" w:type="dxa"/>
            <w:vAlign w:val="bottom"/>
          </w:tcPr>
          <w:p>
            <w:pPr>
              <w:ind w:left="300"/>
              <w:spacing w:after="0"/>
              <w:rPr>
                <w:sz w:val="20"/>
                <w:szCs w:val="20"/>
                <w:color w:val="auto"/>
              </w:rPr>
            </w:pPr>
            <w:r>
              <w:rPr>
                <w:rFonts w:ascii="Arial" w:cs="Arial" w:eastAsia="Arial" w:hAnsi="Arial"/>
                <w:sz w:val="18"/>
                <w:szCs w:val="18"/>
                <w:color w:val="auto"/>
              </w:rPr>
              <w:t>33</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504.</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Trustee May File Proofs of Claim</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34</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505.</w:t>
            </w:r>
          </w:p>
        </w:tc>
        <w:tc>
          <w:tcPr>
            <w:tcW w:w="8500" w:type="dxa"/>
            <w:vAlign w:val="bottom"/>
          </w:tcPr>
          <w:p>
            <w:pPr>
              <w:ind w:left="8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780" w:type="dxa"/>
            <w:vAlign w:val="bottom"/>
          </w:tcPr>
          <w:p>
            <w:pPr>
              <w:ind w:left="300"/>
              <w:spacing w:after="0"/>
              <w:rPr>
                <w:sz w:val="20"/>
                <w:szCs w:val="20"/>
                <w:color w:val="auto"/>
              </w:rPr>
            </w:pPr>
            <w:r>
              <w:rPr>
                <w:rFonts w:ascii="Arial" w:cs="Arial" w:eastAsia="Arial" w:hAnsi="Arial"/>
                <w:sz w:val="18"/>
                <w:szCs w:val="18"/>
                <w:color w:val="auto"/>
              </w:rPr>
              <w:t>34</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506.</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Application of Money Collected</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34</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507.</w:t>
            </w:r>
          </w:p>
        </w:tc>
        <w:tc>
          <w:tcPr>
            <w:tcW w:w="8500" w:type="dxa"/>
            <w:vAlign w:val="bottom"/>
          </w:tcPr>
          <w:p>
            <w:pPr>
              <w:ind w:left="80"/>
              <w:spacing w:after="0"/>
              <w:rPr>
                <w:sz w:val="20"/>
                <w:szCs w:val="20"/>
                <w:color w:val="auto"/>
              </w:rPr>
            </w:pPr>
            <w:r>
              <w:rPr>
                <w:rFonts w:ascii="Arial" w:cs="Arial" w:eastAsia="Arial" w:hAnsi="Arial"/>
                <w:sz w:val="18"/>
                <w:szCs w:val="18"/>
                <w:color w:val="auto"/>
              </w:rPr>
              <w:t>Limitation on Suits</w:t>
            </w:r>
          </w:p>
        </w:tc>
        <w:tc>
          <w:tcPr>
            <w:tcW w:w="780" w:type="dxa"/>
            <w:vAlign w:val="bottom"/>
          </w:tcPr>
          <w:p>
            <w:pPr>
              <w:ind w:left="300"/>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508.</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Unconditional Right of Holders to Receive Principal, Premium or Make-Whole Amount, if any, and Interest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509.</w:t>
            </w:r>
          </w:p>
        </w:tc>
        <w:tc>
          <w:tcPr>
            <w:tcW w:w="8500" w:type="dxa"/>
            <w:vAlign w:val="bottom"/>
          </w:tcPr>
          <w:p>
            <w:pPr>
              <w:ind w:left="80"/>
              <w:spacing w:after="0"/>
              <w:rPr>
                <w:sz w:val="20"/>
                <w:szCs w:val="20"/>
                <w:color w:val="auto"/>
              </w:rPr>
            </w:pPr>
            <w:r>
              <w:rPr>
                <w:rFonts w:ascii="Arial" w:cs="Arial" w:eastAsia="Arial" w:hAnsi="Arial"/>
                <w:sz w:val="18"/>
                <w:szCs w:val="18"/>
                <w:color w:val="auto"/>
              </w:rPr>
              <w:t>Restoration of Rights and Remedies</w:t>
            </w:r>
          </w:p>
        </w:tc>
        <w:tc>
          <w:tcPr>
            <w:tcW w:w="780" w:type="dxa"/>
            <w:vAlign w:val="bottom"/>
          </w:tcPr>
          <w:p>
            <w:pPr>
              <w:ind w:left="300"/>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510.</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Rights and Remedies Cumulative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36</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511.</w:t>
            </w:r>
          </w:p>
        </w:tc>
        <w:tc>
          <w:tcPr>
            <w:tcW w:w="8500" w:type="dxa"/>
            <w:vAlign w:val="bottom"/>
          </w:tcPr>
          <w:p>
            <w:pPr>
              <w:ind w:left="80"/>
              <w:spacing w:after="0"/>
              <w:rPr>
                <w:sz w:val="20"/>
                <w:szCs w:val="20"/>
                <w:color w:val="auto"/>
              </w:rPr>
            </w:pPr>
            <w:r>
              <w:rPr>
                <w:rFonts w:ascii="Arial" w:cs="Arial" w:eastAsia="Arial" w:hAnsi="Arial"/>
                <w:sz w:val="18"/>
                <w:szCs w:val="18"/>
                <w:color w:val="auto"/>
              </w:rPr>
              <w:t>Delay or Omission Not Waiver</w:t>
            </w:r>
          </w:p>
        </w:tc>
        <w:tc>
          <w:tcPr>
            <w:tcW w:w="780" w:type="dxa"/>
            <w:vAlign w:val="bottom"/>
          </w:tcPr>
          <w:p>
            <w:pPr>
              <w:ind w:left="300"/>
              <w:spacing w:after="0"/>
              <w:rPr>
                <w:sz w:val="20"/>
                <w:szCs w:val="20"/>
                <w:color w:val="auto"/>
              </w:rPr>
            </w:pPr>
            <w:r>
              <w:rPr>
                <w:rFonts w:ascii="Arial" w:cs="Arial" w:eastAsia="Arial" w:hAnsi="Arial"/>
                <w:sz w:val="18"/>
                <w:szCs w:val="18"/>
                <w:color w:val="auto"/>
              </w:rPr>
              <w:t>36</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512.</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 by Holders of Securities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36</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513.</w:t>
            </w:r>
          </w:p>
        </w:tc>
        <w:tc>
          <w:tcPr>
            <w:tcW w:w="8500" w:type="dxa"/>
            <w:vAlign w:val="bottom"/>
          </w:tcPr>
          <w:p>
            <w:pPr>
              <w:ind w:left="80"/>
              <w:spacing w:after="0"/>
              <w:rPr>
                <w:sz w:val="20"/>
                <w:szCs w:val="20"/>
                <w:color w:val="auto"/>
              </w:rPr>
            </w:pPr>
            <w:r>
              <w:rPr>
                <w:rFonts w:ascii="Arial" w:cs="Arial" w:eastAsia="Arial" w:hAnsi="Arial"/>
                <w:sz w:val="18"/>
                <w:szCs w:val="18"/>
                <w:color w:val="auto"/>
              </w:rPr>
              <w:t>Waiver of Past Defaults</w:t>
            </w:r>
          </w:p>
        </w:tc>
        <w:tc>
          <w:tcPr>
            <w:tcW w:w="780" w:type="dxa"/>
            <w:vAlign w:val="bottom"/>
          </w:tcPr>
          <w:p>
            <w:pPr>
              <w:ind w:left="300"/>
              <w:spacing w:after="0"/>
              <w:rPr>
                <w:sz w:val="20"/>
                <w:szCs w:val="20"/>
                <w:color w:val="auto"/>
              </w:rPr>
            </w:pPr>
            <w:r>
              <w:rPr>
                <w:rFonts w:ascii="Arial" w:cs="Arial" w:eastAsia="Arial" w:hAnsi="Arial"/>
                <w:sz w:val="18"/>
                <w:szCs w:val="18"/>
                <w:color w:val="auto"/>
              </w:rPr>
              <w:t>36</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514.</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Waiver of Usury, Stay or Extension Laws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37</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515.</w:t>
            </w:r>
          </w:p>
        </w:tc>
        <w:tc>
          <w:tcPr>
            <w:tcW w:w="8500" w:type="dxa"/>
            <w:vAlign w:val="bottom"/>
          </w:tcPr>
          <w:p>
            <w:pPr>
              <w:ind w:left="80"/>
              <w:spacing w:after="0"/>
              <w:rPr>
                <w:sz w:val="20"/>
                <w:szCs w:val="20"/>
                <w:color w:val="auto"/>
              </w:rPr>
            </w:pPr>
            <w:r>
              <w:rPr>
                <w:rFonts w:ascii="Arial" w:cs="Arial" w:eastAsia="Arial" w:hAnsi="Arial"/>
                <w:sz w:val="18"/>
                <w:szCs w:val="18"/>
                <w:color w:val="auto"/>
              </w:rPr>
              <w:t>Undertaking for Costs</w:t>
            </w:r>
          </w:p>
        </w:tc>
        <w:tc>
          <w:tcPr>
            <w:tcW w:w="780" w:type="dxa"/>
            <w:vAlign w:val="bottom"/>
          </w:tcPr>
          <w:p>
            <w:pPr>
              <w:ind w:left="300"/>
              <w:spacing w:after="0"/>
              <w:rPr>
                <w:sz w:val="20"/>
                <w:szCs w:val="20"/>
                <w:color w:val="auto"/>
              </w:rPr>
            </w:pPr>
            <w:r>
              <w:rPr>
                <w:rFonts w:ascii="Arial" w:cs="Arial" w:eastAsia="Arial" w:hAnsi="Arial"/>
                <w:sz w:val="18"/>
                <w:szCs w:val="18"/>
                <w:color w:val="auto"/>
              </w:rPr>
              <w:t>37</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6. THE TRUSTEE</w:t>
            </w:r>
          </w:p>
        </w:tc>
        <w:tc>
          <w:tcPr>
            <w:tcW w:w="780" w:type="dxa"/>
            <w:vAlign w:val="bottom"/>
          </w:tcPr>
          <w:p>
            <w:pPr>
              <w:ind w:left="300"/>
              <w:spacing w:after="0"/>
              <w:rPr>
                <w:sz w:val="20"/>
                <w:szCs w:val="20"/>
                <w:color w:val="auto"/>
              </w:rPr>
            </w:pPr>
            <w:r>
              <w:rPr>
                <w:rFonts w:ascii="Arial" w:cs="Arial" w:eastAsia="Arial" w:hAnsi="Arial"/>
                <w:sz w:val="18"/>
                <w:szCs w:val="18"/>
                <w:color w:val="auto"/>
              </w:rPr>
              <w:t>37</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601.</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Notice of Defaults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37</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602.</w:t>
            </w:r>
          </w:p>
        </w:tc>
        <w:tc>
          <w:tcPr>
            <w:tcW w:w="8500" w:type="dxa"/>
            <w:vAlign w:val="bottom"/>
          </w:tcPr>
          <w:p>
            <w:pPr>
              <w:ind w:left="80"/>
              <w:spacing w:after="0"/>
              <w:rPr>
                <w:sz w:val="20"/>
                <w:szCs w:val="20"/>
                <w:color w:val="auto"/>
              </w:rPr>
            </w:pPr>
            <w:r>
              <w:rPr>
                <w:rFonts w:ascii="Arial" w:cs="Arial" w:eastAsia="Arial" w:hAnsi="Arial"/>
                <w:sz w:val="18"/>
                <w:szCs w:val="18"/>
                <w:color w:val="auto"/>
              </w:rPr>
              <w:t>Certain Rights of Trustee</w:t>
            </w:r>
          </w:p>
        </w:tc>
        <w:tc>
          <w:tcPr>
            <w:tcW w:w="780" w:type="dxa"/>
            <w:vAlign w:val="bottom"/>
          </w:tcPr>
          <w:p>
            <w:pPr>
              <w:ind w:left="300"/>
              <w:spacing w:after="0"/>
              <w:rPr>
                <w:sz w:val="20"/>
                <w:szCs w:val="20"/>
                <w:color w:val="auto"/>
              </w:rPr>
            </w:pPr>
            <w:r>
              <w:rPr>
                <w:rFonts w:ascii="Arial" w:cs="Arial" w:eastAsia="Arial" w:hAnsi="Arial"/>
                <w:sz w:val="18"/>
                <w:szCs w:val="18"/>
                <w:color w:val="auto"/>
              </w:rPr>
              <w:t>37</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603.</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 Responsible for Recitals or Issuance of Securities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39</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604.</w:t>
            </w:r>
          </w:p>
        </w:tc>
        <w:tc>
          <w:tcPr>
            <w:tcW w:w="8500" w:type="dxa"/>
            <w:vAlign w:val="bottom"/>
          </w:tcPr>
          <w:p>
            <w:pPr>
              <w:ind w:left="80"/>
              <w:spacing w:after="0"/>
              <w:rPr>
                <w:sz w:val="20"/>
                <w:szCs w:val="20"/>
                <w:color w:val="auto"/>
              </w:rPr>
            </w:pPr>
            <w:r>
              <w:rPr>
                <w:rFonts w:ascii="Arial" w:cs="Arial" w:eastAsia="Arial" w:hAnsi="Arial"/>
                <w:sz w:val="18"/>
                <w:szCs w:val="18"/>
                <w:color w:val="auto"/>
              </w:rPr>
              <w:t>May Hold Securities</w:t>
            </w:r>
          </w:p>
        </w:tc>
        <w:tc>
          <w:tcPr>
            <w:tcW w:w="780" w:type="dxa"/>
            <w:vAlign w:val="bottom"/>
          </w:tcPr>
          <w:p>
            <w:pPr>
              <w:ind w:left="300"/>
              <w:spacing w:after="0"/>
              <w:rPr>
                <w:sz w:val="20"/>
                <w:szCs w:val="20"/>
                <w:color w:val="auto"/>
              </w:rPr>
            </w:pPr>
            <w:r>
              <w:rPr>
                <w:rFonts w:ascii="Arial" w:cs="Arial" w:eastAsia="Arial" w:hAnsi="Arial"/>
                <w:sz w:val="18"/>
                <w:szCs w:val="18"/>
                <w:color w:val="auto"/>
              </w:rPr>
              <w:t>39</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605.</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Money Held in Trust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39</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606.</w:t>
            </w:r>
          </w:p>
        </w:tc>
        <w:tc>
          <w:tcPr>
            <w:tcW w:w="8500" w:type="dxa"/>
            <w:vAlign w:val="bottom"/>
          </w:tcPr>
          <w:p>
            <w:pPr>
              <w:ind w:left="80"/>
              <w:spacing w:after="0"/>
              <w:rPr>
                <w:sz w:val="20"/>
                <w:szCs w:val="20"/>
                <w:color w:val="auto"/>
              </w:rPr>
            </w:pPr>
            <w:r>
              <w:rPr>
                <w:rFonts w:ascii="Arial" w:cs="Arial" w:eastAsia="Arial" w:hAnsi="Arial"/>
                <w:sz w:val="18"/>
                <w:szCs w:val="18"/>
                <w:color w:val="auto"/>
              </w:rPr>
              <w:t>Compensation and Reimbursement</w:t>
            </w:r>
          </w:p>
        </w:tc>
        <w:tc>
          <w:tcPr>
            <w:tcW w:w="780" w:type="dxa"/>
            <w:vAlign w:val="bottom"/>
          </w:tcPr>
          <w:p>
            <w:pPr>
              <w:ind w:left="300"/>
              <w:spacing w:after="0"/>
              <w:rPr>
                <w:sz w:val="20"/>
                <w:szCs w:val="20"/>
                <w:color w:val="auto"/>
              </w:rPr>
            </w:pPr>
            <w:r>
              <w:rPr>
                <w:rFonts w:ascii="Arial" w:cs="Arial" w:eastAsia="Arial" w:hAnsi="Arial"/>
                <w:sz w:val="18"/>
                <w:szCs w:val="18"/>
                <w:color w:val="auto"/>
              </w:rPr>
              <w:t>40</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607.</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Corporate Trustee Required; Eligibility; Conflicting Interests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40</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608.</w:t>
            </w:r>
          </w:p>
        </w:tc>
        <w:tc>
          <w:tcPr>
            <w:tcW w:w="8500" w:type="dxa"/>
            <w:vAlign w:val="bottom"/>
          </w:tcPr>
          <w:p>
            <w:pPr>
              <w:ind w:left="80"/>
              <w:spacing w:after="0"/>
              <w:rPr>
                <w:sz w:val="20"/>
                <w:szCs w:val="20"/>
                <w:color w:val="auto"/>
              </w:rPr>
            </w:pPr>
            <w:r>
              <w:rPr>
                <w:rFonts w:ascii="Arial" w:cs="Arial" w:eastAsia="Arial" w:hAnsi="Arial"/>
                <w:sz w:val="18"/>
                <w:szCs w:val="18"/>
                <w:color w:val="auto"/>
              </w:rPr>
              <w:t>Resignation and Removal; Appointment of Successor</w:t>
            </w:r>
          </w:p>
        </w:tc>
        <w:tc>
          <w:tcPr>
            <w:tcW w:w="780" w:type="dxa"/>
            <w:vAlign w:val="bottom"/>
          </w:tcPr>
          <w:p>
            <w:pPr>
              <w:ind w:left="300"/>
              <w:spacing w:after="0"/>
              <w:rPr>
                <w:sz w:val="20"/>
                <w:szCs w:val="20"/>
                <w:color w:val="auto"/>
              </w:rPr>
            </w:pPr>
            <w:r>
              <w:rPr>
                <w:rFonts w:ascii="Arial" w:cs="Arial" w:eastAsia="Arial" w:hAnsi="Arial"/>
                <w:sz w:val="18"/>
                <w:szCs w:val="18"/>
                <w:color w:val="auto"/>
              </w:rPr>
              <w:t>40</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609.</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Acceptance of Appointment by Successor</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42</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610.</w:t>
            </w:r>
          </w:p>
        </w:tc>
        <w:tc>
          <w:tcPr>
            <w:tcW w:w="8500" w:type="dxa"/>
            <w:vAlign w:val="bottom"/>
          </w:tcPr>
          <w:p>
            <w:pPr>
              <w:ind w:left="80"/>
              <w:spacing w:after="0"/>
              <w:rPr>
                <w:sz w:val="20"/>
                <w:szCs w:val="20"/>
                <w:color w:val="auto"/>
              </w:rPr>
            </w:pPr>
            <w:r>
              <w:rPr>
                <w:rFonts w:ascii="Arial" w:cs="Arial" w:eastAsia="Arial" w:hAnsi="Arial"/>
                <w:sz w:val="18"/>
                <w:szCs w:val="18"/>
                <w:color w:val="auto"/>
              </w:rPr>
              <w:t>Merger, Conversion, Consolidation or Succession to Business</w:t>
            </w:r>
          </w:p>
        </w:tc>
        <w:tc>
          <w:tcPr>
            <w:tcW w:w="780" w:type="dxa"/>
            <w:vAlign w:val="bottom"/>
          </w:tcPr>
          <w:p>
            <w:pPr>
              <w:ind w:left="300"/>
              <w:spacing w:after="0"/>
              <w:rPr>
                <w:sz w:val="20"/>
                <w:szCs w:val="20"/>
                <w:color w:val="auto"/>
              </w:rPr>
            </w:pPr>
            <w:r>
              <w:rPr>
                <w:rFonts w:ascii="Arial" w:cs="Arial" w:eastAsia="Arial" w:hAnsi="Arial"/>
                <w:sz w:val="18"/>
                <w:szCs w:val="18"/>
                <w:color w:val="auto"/>
              </w:rPr>
              <w:t>43</w:t>
            </w:r>
          </w:p>
        </w:tc>
      </w:tr>
      <w:tr>
        <w:trPr>
          <w:trHeight w:val="216"/>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611.</w:t>
            </w:r>
          </w:p>
        </w:tc>
        <w:tc>
          <w:tcPr>
            <w:tcW w:w="8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Appointment of Authenticating Agent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Borders>
              <w:bottom w:val="single" w:sz="8" w:color="CCEEFF"/>
            </w:tcBorders>
          </w:tcPr>
          <w:p>
            <w:pPr>
              <w:spacing w:after="0"/>
              <w:rPr>
                <w:sz w:val="20"/>
                <w:szCs w:val="20"/>
                <w:color w:val="auto"/>
              </w:rPr>
            </w:pPr>
          </w:p>
        </w:tc>
        <w:tc>
          <w:tcPr>
            <w:tcW w:w="86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612.</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Certain Duties and Responsibilities of the Trustee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44</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7. HOLDERS’ LISTS AND REPORTS BY TRUSTEE AND COMPANY</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45</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701.</w:t>
            </w:r>
          </w:p>
        </w:tc>
        <w:tc>
          <w:tcPr>
            <w:tcW w:w="8680" w:type="dxa"/>
            <w:vAlign w:val="bottom"/>
          </w:tcPr>
          <w:p>
            <w:pPr>
              <w:ind w:left="260"/>
              <w:spacing w:after="0"/>
              <w:rPr>
                <w:sz w:val="20"/>
                <w:szCs w:val="20"/>
                <w:color w:val="auto"/>
              </w:rPr>
            </w:pPr>
            <w:r>
              <w:rPr>
                <w:rFonts w:ascii="Arial" w:cs="Arial" w:eastAsia="Arial" w:hAnsi="Arial"/>
                <w:sz w:val="18"/>
                <w:szCs w:val="18"/>
                <w:color w:val="auto"/>
              </w:rPr>
              <w:t>Disclosure of Names and Addresses of Holders</w:t>
            </w:r>
          </w:p>
        </w:tc>
        <w:tc>
          <w:tcPr>
            <w:tcW w:w="780" w:type="dxa"/>
            <w:vAlign w:val="bottom"/>
          </w:tcPr>
          <w:p>
            <w:pPr>
              <w:ind w:left="300"/>
              <w:spacing w:after="0"/>
              <w:rPr>
                <w:sz w:val="20"/>
                <w:szCs w:val="20"/>
                <w:color w:val="auto"/>
              </w:rPr>
            </w:pPr>
            <w:r>
              <w:rPr>
                <w:rFonts w:ascii="Arial" w:cs="Arial" w:eastAsia="Arial" w:hAnsi="Arial"/>
                <w:sz w:val="18"/>
                <w:szCs w:val="18"/>
                <w:color w:val="auto"/>
              </w:rPr>
              <w:t>45</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702.</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Reports by Trustee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45</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703.</w:t>
            </w:r>
          </w:p>
        </w:tc>
        <w:tc>
          <w:tcPr>
            <w:tcW w:w="8680" w:type="dxa"/>
            <w:vAlign w:val="bottom"/>
          </w:tcPr>
          <w:p>
            <w:pPr>
              <w:ind w:left="260"/>
              <w:spacing w:after="0"/>
              <w:rPr>
                <w:sz w:val="20"/>
                <w:szCs w:val="20"/>
                <w:color w:val="auto"/>
              </w:rPr>
            </w:pPr>
            <w:r>
              <w:rPr>
                <w:rFonts w:ascii="Arial" w:cs="Arial" w:eastAsia="Arial" w:hAnsi="Arial"/>
                <w:sz w:val="18"/>
                <w:szCs w:val="18"/>
                <w:color w:val="auto"/>
              </w:rPr>
              <w:t>Reports by Company</w:t>
            </w:r>
          </w:p>
        </w:tc>
        <w:tc>
          <w:tcPr>
            <w:tcW w:w="780" w:type="dxa"/>
            <w:vAlign w:val="bottom"/>
          </w:tcPr>
          <w:p>
            <w:pPr>
              <w:ind w:left="300"/>
              <w:spacing w:after="0"/>
              <w:rPr>
                <w:sz w:val="20"/>
                <w:szCs w:val="20"/>
                <w:color w:val="auto"/>
              </w:rPr>
            </w:pPr>
            <w:r>
              <w:rPr>
                <w:rFonts w:ascii="Arial" w:cs="Arial" w:eastAsia="Arial" w:hAnsi="Arial"/>
                <w:sz w:val="18"/>
                <w:szCs w:val="18"/>
                <w:color w:val="auto"/>
              </w:rPr>
              <w:t>46</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704.</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Company to Furnish Trustee Names and Addresses of Holders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46</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8. CONSOLIDATION, MERGER, SALE, LEASE OR CONVEYANCE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47</w:t>
            </w:r>
          </w:p>
        </w:tc>
      </w:tr>
      <w:tr>
        <w:trPr>
          <w:trHeight w:val="202"/>
        </w:trPr>
        <w:tc>
          <w:tcPr>
            <w:tcW w:w="1780" w:type="dxa"/>
            <w:vAlign w:val="bottom"/>
          </w:tcPr>
          <w:p>
            <w:pPr>
              <w:ind w:left="340"/>
              <w:spacing w:after="0" w:line="201" w:lineRule="exact"/>
              <w:rPr>
                <w:sz w:val="20"/>
                <w:szCs w:val="20"/>
                <w:color w:val="auto"/>
              </w:rPr>
            </w:pPr>
            <w:r>
              <w:rPr>
                <w:rFonts w:ascii="Arial" w:cs="Arial" w:eastAsia="Arial" w:hAnsi="Arial"/>
                <w:sz w:val="18"/>
                <w:szCs w:val="18"/>
                <w:color w:val="auto"/>
              </w:rPr>
              <w:t>SECTION 801.</w:t>
            </w:r>
          </w:p>
        </w:tc>
        <w:tc>
          <w:tcPr>
            <w:tcW w:w="8680" w:type="dxa"/>
            <w:vAlign w:val="bottom"/>
          </w:tcPr>
          <w:p>
            <w:pPr>
              <w:ind w:left="260"/>
              <w:spacing w:after="0" w:line="201" w:lineRule="exact"/>
              <w:rPr>
                <w:sz w:val="20"/>
                <w:szCs w:val="20"/>
                <w:color w:val="auto"/>
              </w:rPr>
            </w:pPr>
            <w:r>
              <w:rPr>
                <w:rFonts w:ascii="Arial" w:cs="Arial" w:eastAsia="Arial" w:hAnsi="Arial"/>
                <w:sz w:val="18"/>
                <w:szCs w:val="18"/>
                <w:color w:val="auto"/>
                <w:w w:val="97"/>
              </w:rPr>
              <w:t>Consolidations and Mergers of Company and Sales, Leases and Conveyances Permitted Subject to Certain</w:t>
            </w:r>
          </w:p>
        </w:tc>
        <w:tc>
          <w:tcPr>
            <w:tcW w:w="780" w:type="dxa"/>
            <w:vAlign w:val="bottom"/>
          </w:tcPr>
          <w:p>
            <w:pPr>
              <w:ind w:left="300"/>
              <w:spacing w:after="0" w:line="201" w:lineRule="exact"/>
              <w:rPr>
                <w:sz w:val="20"/>
                <w:szCs w:val="20"/>
                <w:color w:val="auto"/>
              </w:rPr>
            </w:pPr>
            <w:r>
              <w:rPr>
                <w:rFonts w:ascii="Arial" w:cs="Arial" w:eastAsia="Arial" w:hAnsi="Arial"/>
                <w:sz w:val="18"/>
                <w:szCs w:val="18"/>
                <w:color w:val="auto"/>
              </w:rPr>
              <w:t>47</w:t>
            </w:r>
          </w:p>
        </w:tc>
      </w:tr>
      <w:tr>
        <w:trPr>
          <w:trHeight w:val="230"/>
        </w:trPr>
        <w:tc>
          <w:tcPr>
            <w:tcW w:w="178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Conditions</w:t>
            </w:r>
          </w:p>
        </w:tc>
        <w:tc>
          <w:tcPr>
            <w:tcW w:w="780" w:type="dxa"/>
            <w:vAlign w:val="bottom"/>
          </w:tcPr>
          <w:p>
            <w:pPr>
              <w:spacing w:after="0"/>
              <w:rPr>
                <w:sz w:val="20"/>
                <w:szCs w:val="20"/>
                <w:color w:val="auto"/>
              </w:rPr>
            </w:pP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802.</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Rights and Duties of Successor Corporation</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47</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803.</w:t>
            </w:r>
          </w:p>
        </w:tc>
        <w:tc>
          <w:tcPr>
            <w:tcW w:w="8680" w:type="dxa"/>
            <w:vAlign w:val="bottom"/>
          </w:tcPr>
          <w:p>
            <w:pPr>
              <w:ind w:left="260"/>
              <w:spacing w:after="0"/>
              <w:rPr>
                <w:sz w:val="20"/>
                <w:szCs w:val="20"/>
                <w:color w:val="auto"/>
              </w:rPr>
            </w:pPr>
            <w:r>
              <w:rPr>
                <w:rFonts w:ascii="Arial" w:cs="Arial" w:eastAsia="Arial" w:hAnsi="Arial"/>
                <w:sz w:val="18"/>
                <w:szCs w:val="18"/>
                <w:color w:val="auto"/>
              </w:rPr>
              <w:t>Officers’ Certificate and Opinion of Counsel</w:t>
            </w:r>
          </w:p>
        </w:tc>
        <w:tc>
          <w:tcPr>
            <w:tcW w:w="780" w:type="dxa"/>
            <w:vAlign w:val="bottom"/>
          </w:tcPr>
          <w:p>
            <w:pPr>
              <w:ind w:left="300"/>
              <w:spacing w:after="0"/>
              <w:rPr>
                <w:sz w:val="20"/>
                <w:szCs w:val="20"/>
                <w:color w:val="auto"/>
              </w:rPr>
            </w:pPr>
            <w:r>
              <w:rPr>
                <w:rFonts w:ascii="Arial" w:cs="Arial" w:eastAsia="Arial" w:hAnsi="Arial"/>
                <w:sz w:val="18"/>
                <w:szCs w:val="18"/>
                <w:color w:val="auto"/>
              </w:rPr>
              <w:t>47</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780" w:type="dxa"/>
            <w:vAlign w:val="bottom"/>
          </w:tcPr>
          <w:p>
            <w:pPr>
              <w:ind w:left="300"/>
              <w:spacing w:after="0"/>
              <w:rPr>
                <w:sz w:val="20"/>
                <w:szCs w:val="20"/>
                <w:color w:val="auto"/>
              </w:rPr>
            </w:pPr>
            <w:r>
              <w:rPr>
                <w:rFonts w:ascii="Arial" w:cs="Arial" w:eastAsia="Arial" w:hAnsi="Arial"/>
                <w:sz w:val="18"/>
                <w:szCs w:val="18"/>
                <w:color w:val="auto"/>
              </w:rPr>
              <w:t>48</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901.</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Supplemental Indentures Without Consent of Holders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48</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902.</w:t>
            </w:r>
          </w:p>
        </w:tc>
        <w:tc>
          <w:tcPr>
            <w:tcW w:w="8680" w:type="dxa"/>
            <w:vAlign w:val="bottom"/>
          </w:tcPr>
          <w:p>
            <w:pPr>
              <w:ind w:left="260"/>
              <w:spacing w:after="0"/>
              <w:rPr>
                <w:sz w:val="20"/>
                <w:szCs w:val="20"/>
                <w:color w:val="auto"/>
              </w:rPr>
            </w:pPr>
            <w:r>
              <w:rPr>
                <w:rFonts w:ascii="Arial" w:cs="Arial" w:eastAsia="Arial" w:hAnsi="Arial"/>
                <w:sz w:val="18"/>
                <w:szCs w:val="18"/>
                <w:color w:val="auto"/>
              </w:rPr>
              <w:t>Supplemental Indentures with Consent of Holders</w:t>
            </w:r>
          </w:p>
        </w:tc>
        <w:tc>
          <w:tcPr>
            <w:tcW w:w="780" w:type="dxa"/>
            <w:vAlign w:val="bottom"/>
          </w:tcPr>
          <w:p>
            <w:pPr>
              <w:ind w:left="300"/>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903.</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Execution of Supplemental Indentures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904.</w:t>
            </w:r>
          </w:p>
        </w:tc>
        <w:tc>
          <w:tcPr>
            <w:tcW w:w="8680" w:type="dxa"/>
            <w:vAlign w:val="bottom"/>
          </w:tcPr>
          <w:p>
            <w:pPr>
              <w:ind w:left="260"/>
              <w:spacing w:after="0"/>
              <w:rPr>
                <w:sz w:val="20"/>
                <w:szCs w:val="20"/>
                <w:color w:val="auto"/>
              </w:rPr>
            </w:pPr>
            <w:r>
              <w:rPr>
                <w:rFonts w:ascii="Arial" w:cs="Arial" w:eastAsia="Arial" w:hAnsi="Arial"/>
                <w:sz w:val="18"/>
                <w:szCs w:val="18"/>
                <w:color w:val="auto"/>
              </w:rPr>
              <w:t>Effect of Supplemental Indentures</w:t>
            </w:r>
          </w:p>
        </w:tc>
        <w:tc>
          <w:tcPr>
            <w:tcW w:w="780" w:type="dxa"/>
            <w:vAlign w:val="bottom"/>
          </w:tcPr>
          <w:p>
            <w:pPr>
              <w:ind w:left="300"/>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905.</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Conformity with Trust Indenture Act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906.</w:t>
            </w:r>
          </w:p>
        </w:tc>
        <w:tc>
          <w:tcPr>
            <w:tcW w:w="8680" w:type="dxa"/>
            <w:vAlign w:val="bottom"/>
          </w:tcPr>
          <w:p>
            <w:pPr>
              <w:ind w:left="260"/>
              <w:spacing w:after="0"/>
              <w:rPr>
                <w:sz w:val="20"/>
                <w:szCs w:val="20"/>
                <w:color w:val="auto"/>
              </w:rPr>
            </w:pPr>
            <w:r>
              <w:rPr>
                <w:rFonts w:ascii="Arial" w:cs="Arial" w:eastAsia="Arial" w:hAnsi="Arial"/>
                <w:sz w:val="18"/>
                <w:szCs w:val="18"/>
                <w:color w:val="auto"/>
              </w:rPr>
              <w:t>Reference in Securities to Supplemental Indentures</w:t>
            </w:r>
          </w:p>
        </w:tc>
        <w:tc>
          <w:tcPr>
            <w:tcW w:w="780" w:type="dxa"/>
            <w:vAlign w:val="bottom"/>
          </w:tcPr>
          <w:p>
            <w:pPr>
              <w:ind w:left="300"/>
              <w:spacing w:after="0"/>
              <w:rPr>
                <w:sz w:val="20"/>
                <w:szCs w:val="20"/>
                <w:color w:val="auto"/>
              </w:rPr>
            </w:pPr>
            <w:r>
              <w:rPr>
                <w:rFonts w:ascii="Arial" w:cs="Arial" w:eastAsia="Arial" w:hAnsi="Arial"/>
                <w:sz w:val="18"/>
                <w:szCs w:val="18"/>
                <w:color w:val="auto"/>
              </w:rPr>
              <w:t>50</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10. COVENANTS</w:t>
            </w:r>
          </w:p>
        </w:tc>
        <w:tc>
          <w:tcPr>
            <w:tcW w:w="780" w:type="dxa"/>
            <w:vAlign w:val="bottom"/>
          </w:tcPr>
          <w:p>
            <w:pPr>
              <w:ind w:left="300"/>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1001.</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 of Principal, Premium or Make-Whole Amount, if any; and Interest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1002.</w:t>
            </w:r>
          </w:p>
        </w:tc>
        <w:tc>
          <w:tcPr>
            <w:tcW w:w="8680" w:type="dxa"/>
            <w:vAlign w:val="bottom"/>
          </w:tcPr>
          <w:p>
            <w:pPr>
              <w:ind w:left="260"/>
              <w:spacing w:after="0"/>
              <w:rPr>
                <w:sz w:val="20"/>
                <w:szCs w:val="20"/>
                <w:color w:val="auto"/>
              </w:rPr>
            </w:pPr>
            <w:r>
              <w:rPr>
                <w:rFonts w:ascii="Arial" w:cs="Arial" w:eastAsia="Arial" w:hAnsi="Arial"/>
                <w:sz w:val="18"/>
                <w:szCs w:val="18"/>
                <w:color w:val="auto"/>
              </w:rPr>
              <w:t>Maintenance of Office or Agency</w:t>
            </w:r>
          </w:p>
        </w:tc>
        <w:tc>
          <w:tcPr>
            <w:tcW w:w="780" w:type="dxa"/>
            <w:vAlign w:val="bottom"/>
          </w:tcPr>
          <w:p>
            <w:pPr>
              <w:ind w:left="300"/>
              <w:spacing w:after="0"/>
              <w:rPr>
                <w:sz w:val="20"/>
                <w:szCs w:val="20"/>
                <w:color w:val="auto"/>
              </w:rPr>
            </w:pPr>
            <w:r>
              <w:rPr>
                <w:rFonts w:ascii="Arial" w:cs="Arial" w:eastAsia="Arial" w:hAnsi="Arial"/>
                <w:sz w:val="18"/>
                <w:szCs w:val="18"/>
                <w:color w:val="auto"/>
              </w:rPr>
              <w:t>51</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1003.</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Money for Securities Payments to Be Held in Trust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52</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1004.</w:t>
            </w:r>
          </w:p>
        </w:tc>
        <w:tc>
          <w:tcPr>
            <w:tcW w:w="8680" w:type="dxa"/>
            <w:vAlign w:val="bottom"/>
          </w:tcPr>
          <w:p>
            <w:pPr>
              <w:ind w:left="260"/>
              <w:spacing w:after="0"/>
              <w:rPr>
                <w:sz w:val="20"/>
                <w:szCs w:val="20"/>
                <w:color w:val="auto"/>
              </w:rPr>
            </w:pPr>
            <w:r>
              <w:rPr>
                <w:rFonts w:ascii="Arial" w:cs="Arial" w:eastAsia="Arial" w:hAnsi="Arial"/>
                <w:sz w:val="18"/>
                <w:szCs w:val="18"/>
                <w:color w:val="auto"/>
              </w:rPr>
              <w:t>Existence</w:t>
            </w:r>
          </w:p>
        </w:tc>
        <w:tc>
          <w:tcPr>
            <w:tcW w:w="780" w:type="dxa"/>
            <w:vAlign w:val="bottom"/>
          </w:tcPr>
          <w:p>
            <w:pPr>
              <w:ind w:left="300"/>
              <w:spacing w:after="0"/>
              <w:rPr>
                <w:sz w:val="20"/>
                <w:szCs w:val="20"/>
                <w:color w:val="auto"/>
              </w:rPr>
            </w:pPr>
            <w:r>
              <w:rPr>
                <w:rFonts w:ascii="Arial" w:cs="Arial" w:eastAsia="Arial" w:hAnsi="Arial"/>
                <w:sz w:val="18"/>
                <w:szCs w:val="18"/>
                <w:color w:val="auto"/>
              </w:rPr>
              <w:t>53</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1005.</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Maintenance of Properties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53</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1006.</w:t>
            </w:r>
          </w:p>
        </w:tc>
        <w:tc>
          <w:tcPr>
            <w:tcW w:w="868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780" w:type="dxa"/>
            <w:vAlign w:val="bottom"/>
          </w:tcPr>
          <w:p>
            <w:pPr>
              <w:ind w:left="300"/>
              <w:spacing w:after="0"/>
              <w:rPr>
                <w:sz w:val="20"/>
                <w:szCs w:val="20"/>
                <w:color w:val="auto"/>
              </w:rPr>
            </w:pPr>
            <w:r>
              <w:rPr>
                <w:rFonts w:ascii="Arial" w:cs="Arial" w:eastAsia="Arial" w:hAnsi="Arial"/>
                <w:sz w:val="18"/>
                <w:szCs w:val="18"/>
                <w:color w:val="auto"/>
              </w:rPr>
              <w:t>53</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1007.</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 of Taxes and Other Claims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53</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1008.</w:t>
            </w:r>
          </w:p>
        </w:tc>
        <w:tc>
          <w:tcPr>
            <w:tcW w:w="8680" w:type="dxa"/>
            <w:vAlign w:val="bottom"/>
          </w:tcPr>
          <w:p>
            <w:pPr>
              <w:ind w:left="260"/>
              <w:spacing w:after="0"/>
              <w:rPr>
                <w:sz w:val="20"/>
                <w:szCs w:val="20"/>
                <w:color w:val="auto"/>
              </w:rPr>
            </w:pPr>
            <w:r>
              <w:rPr>
                <w:rFonts w:ascii="Arial" w:cs="Arial" w:eastAsia="Arial" w:hAnsi="Arial"/>
                <w:sz w:val="18"/>
                <w:szCs w:val="18"/>
                <w:color w:val="auto"/>
              </w:rPr>
              <w:t>Statement as to Compliance</w:t>
            </w:r>
          </w:p>
        </w:tc>
        <w:tc>
          <w:tcPr>
            <w:tcW w:w="780" w:type="dxa"/>
            <w:vAlign w:val="bottom"/>
          </w:tcPr>
          <w:p>
            <w:pPr>
              <w:ind w:left="300"/>
              <w:spacing w:after="0"/>
              <w:rPr>
                <w:sz w:val="20"/>
                <w:szCs w:val="20"/>
                <w:color w:val="auto"/>
              </w:rPr>
            </w:pPr>
            <w:r>
              <w:rPr>
                <w:rFonts w:ascii="Arial" w:cs="Arial" w:eastAsia="Arial" w:hAnsi="Arial"/>
                <w:sz w:val="18"/>
                <w:szCs w:val="18"/>
                <w:color w:val="auto"/>
              </w:rPr>
              <w:t>54</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1009.</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Waiver of Certain Covenants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54</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11. REDEMPTION OF SECURITIES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54</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1101.</w:t>
            </w:r>
          </w:p>
        </w:tc>
        <w:tc>
          <w:tcPr>
            <w:tcW w:w="8680" w:type="dxa"/>
            <w:vAlign w:val="bottom"/>
          </w:tcPr>
          <w:p>
            <w:pPr>
              <w:ind w:left="260"/>
              <w:spacing w:after="0"/>
              <w:rPr>
                <w:sz w:val="20"/>
                <w:szCs w:val="20"/>
                <w:color w:val="auto"/>
              </w:rPr>
            </w:pPr>
            <w:r>
              <w:rPr>
                <w:rFonts w:ascii="Arial" w:cs="Arial" w:eastAsia="Arial" w:hAnsi="Arial"/>
                <w:sz w:val="18"/>
                <w:szCs w:val="18"/>
                <w:color w:val="auto"/>
              </w:rPr>
              <w:t>Applicability of Article</w:t>
            </w:r>
          </w:p>
        </w:tc>
        <w:tc>
          <w:tcPr>
            <w:tcW w:w="780" w:type="dxa"/>
            <w:vAlign w:val="bottom"/>
          </w:tcPr>
          <w:p>
            <w:pPr>
              <w:ind w:left="300"/>
              <w:spacing w:after="0"/>
              <w:rPr>
                <w:sz w:val="20"/>
                <w:szCs w:val="20"/>
                <w:color w:val="auto"/>
              </w:rPr>
            </w:pPr>
            <w:r>
              <w:rPr>
                <w:rFonts w:ascii="Arial" w:cs="Arial" w:eastAsia="Arial" w:hAnsi="Arial"/>
                <w:sz w:val="18"/>
                <w:szCs w:val="18"/>
                <w:color w:val="auto"/>
              </w:rPr>
              <w:t>54</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1102.</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Election to Redeem; Notice to Trustee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54</w:t>
            </w:r>
          </w:p>
        </w:tc>
      </w:tr>
      <w:tr>
        <w:trPr>
          <w:trHeight w:val="230"/>
        </w:trPr>
        <w:tc>
          <w:tcPr>
            <w:tcW w:w="1780" w:type="dxa"/>
            <w:vAlign w:val="bottom"/>
          </w:tcPr>
          <w:p>
            <w:pPr>
              <w:ind w:left="340"/>
              <w:spacing w:after="0"/>
              <w:rPr>
                <w:sz w:val="20"/>
                <w:szCs w:val="20"/>
                <w:color w:val="auto"/>
              </w:rPr>
            </w:pPr>
            <w:r>
              <w:rPr>
                <w:rFonts w:ascii="Arial" w:cs="Arial" w:eastAsia="Arial" w:hAnsi="Arial"/>
                <w:sz w:val="18"/>
                <w:szCs w:val="18"/>
                <w:color w:val="auto"/>
              </w:rPr>
              <w:t>SECTION 1103.</w:t>
            </w:r>
          </w:p>
        </w:tc>
        <w:tc>
          <w:tcPr>
            <w:tcW w:w="8680" w:type="dxa"/>
            <w:vAlign w:val="bottom"/>
          </w:tcPr>
          <w:p>
            <w:pPr>
              <w:ind w:left="260"/>
              <w:spacing w:after="0"/>
              <w:rPr>
                <w:sz w:val="20"/>
                <w:szCs w:val="20"/>
                <w:color w:val="auto"/>
              </w:rPr>
            </w:pPr>
            <w:r>
              <w:rPr>
                <w:rFonts w:ascii="Arial" w:cs="Arial" w:eastAsia="Arial" w:hAnsi="Arial"/>
                <w:sz w:val="18"/>
                <w:szCs w:val="18"/>
                <w:color w:val="auto"/>
              </w:rPr>
              <w:t>Selection by Trustee of Securities to Be Redeemed</w:t>
            </w:r>
          </w:p>
        </w:tc>
        <w:tc>
          <w:tcPr>
            <w:tcW w:w="780" w:type="dxa"/>
            <w:vAlign w:val="bottom"/>
          </w:tcPr>
          <w:p>
            <w:pPr>
              <w:ind w:left="300"/>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Borders>
              <w:bottom w:val="single" w:sz="8" w:color="CCEEFF"/>
            </w:tcBorders>
          </w:tcPr>
          <w:p>
            <w:pPr>
              <w:spacing w:after="0"/>
              <w:rPr>
                <w:sz w:val="20"/>
                <w:szCs w:val="20"/>
                <w:color w:val="auto"/>
              </w:rPr>
            </w:pPr>
          </w:p>
        </w:tc>
        <w:tc>
          <w:tcPr>
            <w:tcW w:w="86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1104.</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 of Redemption</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55</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1105.</w:t>
            </w:r>
          </w:p>
        </w:tc>
        <w:tc>
          <w:tcPr>
            <w:tcW w:w="8680" w:type="dxa"/>
            <w:vAlign w:val="bottom"/>
          </w:tcPr>
          <w:p>
            <w:pPr>
              <w:ind w:left="260"/>
              <w:spacing w:after="0"/>
              <w:rPr>
                <w:sz w:val="20"/>
                <w:szCs w:val="20"/>
                <w:color w:val="auto"/>
              </w:rPr>
            </w:pPr>
            <w:r>
              <w:rPr>
                <w:rFonts w:ascii="Arial" w:cs="Arial" w:eastAsia="Arial" w:hAnsi="Arial"/>
                <w:sz w:val="18"/>
                <w:szCs w:val="18"/>
                <w:color w:val="auto"/>
              </w:rPr>
              <w:t>Deposit of Redemption Price</w:t>
            </w:r>
          </w:p>
        </w:tc>
        <w:tc>
          <w:tcPr>
            <w:tcW w:w="780" w:type="dxa"/>
            <w:vAlign w:val="bottom"/>
          </w:tcPr>
          <w:p>
            <w:pPr>
              <w:ind w:left="300"/>
              <w:spacing w:after="0"/>
              <w:rPr>
                <w:sz w:val="20"/>
                <w:szCs w:val="20"/>
                <w:color w:val="auto"/>
              </w:rPr>
            </w:pPr>
            <w:r>
              <w:rPr>
                <w:rFonts w:ascii="Arial" w:cs="Arial" w:eastAsia="Arial" w:hAnsi="Arial"/>
                <w:sz w:val="18"/>
                <w:szCs w:val="18"/>
                <w:color w:val="auto"/>
              </w:rPr>
              <w:t>56</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1106.</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Securities Payable on Redemption Date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56</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1107.</w:t>
            </w:r>
          </w:p>
        </w:tc>
        <w:tc>
          <w:tcPr>
            <w:tcW w:w="8680" w:type="dxa"/>
            <w:vAlign w:val="bottom"/>
          </w:tcPr>
          <w:p>
            <w:pPr>
              <w:ind w:left="260"/>
              <w:spacing w:after="0"/>
              <w:rPr>
                <w:sz w:val="20"/>
                <w:szCs w:val="20"/>
                <w:color w:val="auto"/>
              </w:rPr>
            </w:pPr>
            <w:r>
              <w:rPr>
                <w:rFonts w:ascii="Arial" w:cs="Arial" w:eastAsia="Arial" w:hAnsi="Arial"/>
                <w:sz w:val="18"/>
                <w:szCs w:val="18"/>
                <w:color w:val="auto"/>
              </w:rPr>
              <w:t>Securities Redeemed in Part</w:t>
            </w:r>
          </w:p>
        </w:tc>
        <w:tc>
          <w:tcPr>
            <w:tcW w:w="780" w:type="dxa"/>
            <w:vAlign w:val="bottom"/>
          </w:tcPr>
          <w:p>
            <w:pPr>
              <w:ind w:left="300"/>
              <w:spacing w:after="0"/>
              <w:rPr>
                <w:sz w:val="20"/>
                <w:szCs w:val="20"/>
                <w:color w:val="auto"/>
              </w:rPr>
            </w:pPr>
            <w:r>
              <w:rPr>
                <w:rFonts w:ascii="Arial" w:cs="Arial" w:eastAsia="Arial" w:hAnsi="Arial"/>
                <w:sz w:val="18"/>
                <w:szCs w:val="18"/>
                <w:color w:val="auto"/>
              </w:rPr>
              <w:t>57</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12. SINKING FUNDS</w:t>
            </w:r>
          </w:p>
        </w:tc>
        <w:tc>
          <w:tcPr>
            <w:tcW w:w="780" w:type="dxa"/>
            <w:vAlign w:val="bottom"/>
          </w:tcPr>
          <w:p>
            <w:pPr>
              <w:ind w:left="300"/>
              <w:spacing w:after="0"/>
              <w:rPr>
                <w:sz w:val="20"/>
                <w:szCs w:val="20"/>
                <w:color w:val="auto"/>
              </w:rPr>
            </w:pPr>
            <w:r>
              <w:rPr>
                <w:rFonts w:ascii="Arial" w:cs="Arial" w:eastAsia="Arial" w:hAnsi="Arial"/>
                <w:sz w:val="18"/>
                <w:szCs w:val="18"/>
                <w:color w:val="auto"/>
              </w:rPr>
              <w:t>57</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1201.</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Applicability of Article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57</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1202.</w:t>
            </w:r>
          </w:p>
        </w:tc>
        <w:tc>
          <w:tcPr>
            <w:tcW w:w="8680" w:type="dxa"/>
            <w:vAlign w:val="bottom"/>
          </w:tcPr>
          <w:p>
            <w:pPr>
              <w:ind w:left="260"/>
              <w:spacing w:after="0"/>
              <w:rPr>
                <w:sz w:val="20"/>
                <w:szCs w:val="20"/>
                <w:color w:val="auto"/>
              </w:rPr>
            </w:pPr>
            <w:r>
              <w:rPr>
                <w:rFonts w:ascii="Arial" w:cs="Arial" w:eastAsia="Arial" w:hAnsi="Arial"/>
                <w:sz w:val="18"/>
                <w:szCs w:val="18"/>
                <w:color w:val="auto"/>
              </w:rPr>
              <w:t>Satisfaction of Sinking Fund Payments with Securities</w:t>
            </w:r>
          </w:p>
        </w:tc>
        <w:tc>
          <w:tcPr>
            <w:tcW w:w="780" w:type="dxa"/>
            <w:vAlign w:val="bottom"/>
          </w:tcPr>
          <w:p>
            <w:pPr>
              <w:ind w:left="300"/>
              <w:spacing w:after="0"/>
              <w:rPr>
                <w:sz w:val="20"/>
                <w:szCs w:val="20"/>
                <w:color w:val="auto"/>
              </w:rPr>
            </w:pPr>
            <w:r>
              <w:rPr>
                <w:rFonts w:ascii="Arial" w:cs="Arial" w:eastAsia="Arial" w:hAnsi="Arial"/>
                <w:sz w:val="18"/>
                <w:szCs w:val="18"/>
                <w:color w:val="auto"/>
              </w:rPr>
              <w:t>57</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1203.</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Redemption of Securities for Sinking Fund</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57</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13. REPAYMENT AT THE OPTION OF HOLDERS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1301.</w:t>
            </w:r>
          </w:p>
        </w:tc>
        <w:tc>
          <w:tcPr>
            <w:tcW w:w="8680" w:type="dxa"/>
            <w:vAlign w:val="bottom"/>
          </w:tcPr>
          <w:p>
            <w:pPr>
              <w:ind w:left="260"/>
              <w:spacing w:after="0"/>
              <w:rPr>
                <w:sz w:val="20"/>
                <w:szCs w:val="20"/>
                <w:color w:val="auto"/>
              </w:rPr>
            </w:pPr>
            <w:r>
              <w:rPr>
                <w:rFonts w:ascii="Arial" w:cs="Arial" w:eastAsia="Arial" w:hAnsi="Arial"/>
                <w:sz w:val="18"/>
                <w:szCs w:val="18"/>
                <w:color w:val="auto"/>
              </w:rPr>
              <w:t>Applicability of Article</w:t>
            </w:r>
          </w:p>
        </w:tc>
        <w:tc>
          <w:tcPr>
            <w:tcW w:w="780" w:type="dxa"/>
            <w:vAlign w:val="bottom"/>
          </w:tcPr>
          <w:p>
            <w:pPr>
              <w:ind w:left="300"/>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1302.</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Repayment of Securities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1303.</w:t>
            </w:r>
          </w:p>
        </w:tc>
        <w:tc>
          <w:tcPr>
            <w:tcW w:w="8680" w:type="dxa"/>
            <w:vAlign w:val="bottom"/>
          </w:tcPr>
          <w:p>
            <w:pPr>
              <w:ind w:left="260"/>
              <w:spacing w:after="0"/>
              <w:rPr>
                <w:sz w:val="20"/>
                <w:szCs w:val="20"/>
                <w:color w:val="auto"/>
              </w:rPr>
            </w:pPr>
            <w:r>
              <w:rPr>
                <w:rFonts w:ascii="Arial" w:cs="Arial" w:eastAsia="Arial" w:hAnsi="Arial"/>
                <w:sz w:val="18"/>
                <w:szCs w:val="18"/>
                <w:color w:val="auto"/>
              </w:rPr>
              <w:t>Exercise of Option</w:t>
            </w:r>
          </w:p>
        </w:tc>
        <w:tc>
          <w:tcPr>
            <w:tcW w:w="780" w:type="dxa"/>
            <w:vAlign w:val="bottom"/>
          </w:tcPr>
          <w:p>
            <w:pPr>
              <w:ind w:left="300"/>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1304.</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When Securities Presented for Repayment Become Due and Payable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59</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1305.</w:t>
            </w:r>
          </w:p>
        </w:tc>
        <w:tc>
          <w:tcPr>
            <w:tcW w:w="8680" w:type="dxa"/>
            <w:vAlign w:val="bottom"/>
          </w:tcPr>
          <w:p>
            <w:pPr>
              <w:ind w:left="260"/>
              <w:spacing w:after="0"/>
              <w:rPr>
                <w:sz w:val="20"/>
                <w:szCs w:val="20"/>
                <w:color w:val="auto"/>
              </w:rPr>
            </w:pPr>
            <w:r>
              <w:rPr>
                <w:rFonts w:ascii="Arial" w:cs="Arial" w:eastAsia="Arial" w:hAnsi="Arial"/>
                <w:sz w:val="18"/>
                <w:szCs w:val="18"/>
                <w:color w:val="auto"/>
              </w:rPr>
              <w:t>Securities Repaid in Part</w:t>
            </w:r>
          </w:p>
        </w:tc>
        <w:tc>
          <w:tcPr>
            <w:tcW w:w="780" w:type="dxa"/>
            <w:vAlign w:val="bottom"/>
          </w:tcPr>
          <w:p>
            <w:pPr>
              <w:ind w:left="300"/>
              <w:spacing w:after="0"/>
              <w:rPr>
                <w:sz w:val="20"/>
                <w:szCs w:val="20"/>
                <w:color w:val="auto"/>
              </w:rPr>
            </w:pPr>
            <w:r>
              <w:rPr>
                <w:rFonts w:ascii="Arial" w:cs="Arial" w:eastAsia="Arial" w:hAnsi="Arial"/>
                <w:sz w:val="18"/>
                <w:szCs w:val="18"/>
                <w:color w:val="auto"/>
              </w:rPr>
              <w:t>59</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14. DEFEASANCE AND COVENANT DEFEASANCE</w:t>
            </w:r>
          </w:p>
        </w:tc>
        <w:tc>
          <w:tcPr>
            <w:tcW w:w="780" w:type="dxa"/>
            <w:vAlign w:val="bottom"/>
          </w:tcPr>
          <w:p>
            <w:pPr>
              <w:ind w:left="300"/>
              <w:spacing w:after="0"/>
              <w:rPr>
                <w:sz w:val="20"/>
                <w:szCs w:val="20"/>
                <w:color w:val="auto"/>
              </w:rPr>
            </w:pPr>
            <w:r>
              <w:rPr>
                <w:rFonts w:ascii="Arial" w:cs="Arial" w:eastAsia="Arial" w:hAnsi="Arial"/>
                <w:sz w:val="18"/>
                <w:szCs w:val="18"/>
                <w:color w:val="auto"/>
              </w:rPr>
              <w:t>60</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1401.</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60</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1402.</w:t>
            </w:r>
          </w:p>
        </w:tc>
        <w:tc>
          <w:tcPr>
            <w:tcW w:w="8680" w:type="dxa"/>
            <w:vAlign w:val="bottom"/>
          </w:tcPr>
          <w:p>
            <w:pPr>
              <w:ind w:left="260"/>
              <w:spacing w:after="0"/>
              <w:rPr>
                <w:sz w:val="20"/>
                <w:szCs w:val="20"/>
                <w:color w:val="auto"/>
              </w:rPr>
            </w:pPr>
            <w:r>
              <w:rPr>
                <w:rFonts w:ascii="Arial" w:cs="Arial" w:eastAsia="Arial" w:hAnsi="Arial"/>
                <w:sz w:val="18"/>
                <w:szCs w:val="18"/>
                <w:color w:val="auto"/>
              </w:rPr>
              <w:t>Defeasance and Discharge</w:t>
            </w:r>
          </w:p>
        </w:tc>
        <w:tc>
          <w:tcPr>
            <w:tcW w:w="780" w:type="dxa"/>
            <w:vAlign w:val="bottom"/>
          </w:tcPr>
          <w:p>
            <w:pPr>
              <w:ind w:left="300"/>
              <w:spacing w:after="0"/>
              <w:rPr>
                <w:sz w:val="20"/>
                <w:szCs w:val="20"/>
                <w:color w:val="auto"/>
              </w:rPr>
            </w:pPr>
            <w:r>
              <w:rPr>
                <w:rFonts w:ascii="Arial" w:cs="Arial" w:eastAsia="Arial" w:hAnsi="Arial"/>
                <w:sz w:val="18"/>
                <w:szCs w:val="18"/>
                <w:color w:val="auto"/>
              </w:rPr>
              <w:t>60</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1403.</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Covenant Defeasance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60</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1404.</w:t>
            </w:r>
          </w:p>
        </w:tc>
        <w:tc>
          <w:tcPr>
            <w:tcW w:w="8680" w:type="dxa"/>
            <w:vAlign w:val="bottom"/>
          </w:tcPr>
          <w:p>
            <w:pPr>
              <w:ind w:left="260"/>
              <w:spacing w:after="0"/>
              <w:rPr>
                <w:sz w:val="20"/>
                <w:szCs w:val="20"/>
                <w:color w:val="auto"/>
              </w:rPr>
            </w:pPr>
            <w:r>
              <w:rPr>
                <w:rFonts w:ascii="Arial" w:cs="Arial" w:eastAsia="Arial" w:hAnsi="Arial"/>
                <w:sz w:val="18"/>
                <w:szCs w:val="18"/>
                <w:color w:val="auto"/>
              </w:rPr>
              <w:t>Conditions to Defeasance or Covenant Defeasance</w:t>
            </w:r>
          </w:p>
        </w:tc>
        <w:tc>
          <w:tcPr>
            <w:tcW w:w="780" w:type="dxa"/>
            <w:vAlign w:val="bottom"/>
          </w:tcPr>
          <w:p>
            <w:pPr>
              <w:ind w:left="300"/>
              <w:spacing w:after="0"/>
              <w:rPr>
                <w:sz w:val="20"/>
                <w:szCs w:val="20"/>
                <w:color w:val="auto"/>
              </w:rPr>
            </w:pPr>
            <w:r>
              <w:rPr>
                <w:rFonts w:ascii="Arial" w:cs="Arial" w:eastAsia="Arial" w:hAnsi="Arial"/>
                <w:sz w:val="18"/>
                <w:szCs w:val="18"/>
                <w:color w:val="auto"/>
              </w:rPr>
              <w:t>61</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1405.</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62</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15. MEETINGS OF HOLDERS OF SECURITIES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1501.</w:t>
            </w:r>
          </w:p>
        </w:tc>
        <w:tc>
          <w:tcPr>
            <w:tcW w:w="8680" w:type="dxa"/>
            <w:vAlign w:val="bottom"/>
          </w:tcPr>
          <w:p>
            <w:pPr>
              <w:ind w:left="260"/>
              <w:spacing w:after="0"/>
              <w:rPr>
                <w:sz w:val="20"/>
                <w:szCs w:val="20"/>
                <w:color w:val="auto"/>
              </w:rPr>
            </w:pPr>
            <w:r>
              <w:rPr>
                <w:rFonts w:ascii="Arial" w:cs="Arial" w:eastAsia="Arial" w:hAnsi="Arial"/>
                <w:sz w:val="18"/>
                <w:szCs w:val="18"/>
                <w:color w:val="auto"/>
              </w:rPr>
              <w:t>Purposes for Which Meetings May Be Called</w:t>
            </w:r>
          </w:p>
        </w:tc>
        <w:tc>
          <w:tcPr>
            <w:tcW w:w="780" w:type="dxa"/>
            <w:vAlign w:val="bottom"/>
          </w:tcPr>
          <w:p>
            <w:pPr>
              <w:ind w:left="300"/>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1502.</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Call, Notice and Place of Meetings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1503.</w:t>
            </w:r>
          </w:p>
        </w:tc>
        <w:tc>
          <w:tcPr>
            <w:tcW w:w="8680" w:type="dxa"/>
            <w:vAlign w:val="bottom"/>
          </w:tcPr>
          <w:p>
            <w:pPr>
              <w:ind w:left="260"/>
              <w:spacing w:after="0"/>
              <w:rPr>
                <w:sz w:val="20"/>
                <w:szCs w:val="20"/>
                <w:color w:val="auto"/>
              </w:rPr>
            </w:pPr>
            <w:r>
              <w:rPr>
                <w:rFonts w:ascii="Arial" w:cs="Arial" w:eastAsia="Arial" w:hAnsi="Arial"/>
                <w:sz w:val="18"/>
                <w:szCs w:val="18"/>
                <w:color w:val="auto"/>
              </w:rPr>
              <w:t>Persons Entitled to Vote at Meetings</w:t>
            </w:r>
          </w:p>
        </w:tc>
        <w:tc>
          <w:tcPr>
            <w:tcW w:w="780" w:type="dxa"/>
            <w:vAlign w:val="bottom"/>
          </w:tcPr>
          <w:p>
            <w:pPr>
              <w:ind w:left="300"/>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1504.</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Quorum; Action</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64</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1505.</w:t>
            </w:r>
          </w:p>
        </w:tc>
        <w:tc>
          <w:tcPr>
            <w:tcW w:w="8680" w:type="dxa"/>
            <w:vAlign w:val="bottom"/>
          </w:tcPr>
          <w:p>
            <w:pPr>
              <w:ind w:left="26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780" w:type="dxa"/>
            <w:vAlign w:val="bottom"/>
          </w:tcPr>
          <w:p>
            <w:pPr>
              <w:ind w:left="300"/>
              <w:spacing w:after="0"/>
              <w:rPr>
                <w:sz w:val="20"/>
                <w:szCs w:val="20"/>
                <w:color w:val="auto"/>
              </w:rPr>
            </w:pPr>
            <w:r>
              <w:rPr>
                <w:rFonts w:ascii="Arial" w:cs="Arial" w:eastAsia="Arial" w:hAnsi="Arial"/>
                <w:sz w:val="18"/>
                <w:szCs w:val="18"/>
                <w:color w:val="auto"/>
              </w:rPr>
              <w:t>65</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1506.</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Counting Votes and Recording Action of Meetings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Borders>
              <w:bottom w:val="single" w:sz="8" w:color="CCEEFF"/>
            </w:tcBorders>
          </w:tcPr>
          <w:p>
            <w:pPr>
              <w:spacing w:after="0"/>
              <w:rPr>
                <w:sz w:val="20"/>
                <w:szCs w:val="20"/>
                <w:color w:val="auto"/>
              </w:rPr>
            </w:pPr>
          </w:p>
        </w:tc>
        <w:tc>
          <w:tcPr>
            <w:tcW w:w="86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16. CONVERSION OF SECURITIES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66</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1601.</w:t>
            </w:r>
          </w:p>
        </w:tc>
        <w:tc>
          <w:tcPr>
            <w:tcW w:w="8680" w:type="dxa"/>
            <w:vAlign w:val="bottom"/>
          </w:tcPr>
          <w:p>
            <w:pPr>
              <w:ind w:left="260"/>
              <w:spacing w:after="0"/>
              <w:rPr>
                <w:sz w:val="20"/>
                <w:szCs w:val="20"/>
                <w:color w:val="auto"/>
              </w:rPr>
            </w:pPr>
            <w:r>
              <w:rPr>
                <w:rFonts w:ascii="Arial" w:cs="Arial" w:eastAsia="Arial" w:hAnsi="Arial"/>
                <w:sz w:val="18"/>
                <w:szCs w:val="18"/>
                <w:color w:val="auto"/>
              </w:rPr>
              <w:t>Applicability of Article; Conversion Privilege and Conversion Price</w:t>
            </w:r>
          </w:p>
        </w:tc>
        <w:tc>
          <w:tcPr>
            <w:tcW w:w="780" w:type="dxa"/>
            <w:vAlign w:val="bottom"/>
          </w:tcPr>
          <w:p>
            <w:pPr>
              <w:ind w:left="300"/>
              <w:spacing w:after="0"/>
              <w:rPr>
                <w:sz w:val="20"/>
                <w:szCs w:val="20"/>
                <w:color w:val="auto"/>
              </w:rPr>
            </w:pPr>
            <w:r>
              <w:rPr>
                <w:rFonts w:ascii="Arial" w:cs="Arial" w:eastAsia="Arial" w:hAnsi="Arial"/>
                <w:sz w:val="18"/>
                <w:szCs w:val="18"/>
                <w:color w:val="auto"/>
              </w:rPr>
              <w:t>66</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1602.</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 of Conversion Privilege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66</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1603.</w:t>
            </w:r>
          </w:p>
        </w:tc>
        <w:tc>
          <w:tcPr>
            <w:tcW w:w="8680" w:type="dxa"/>
            <w:vAlign w:val="bottom"/>
          </w:tcPr>
          <w:p>
            <w:pPr>
              <w:ind w:left="260"/>
              <w:spacing w:after="0"/>
              <w:rPr>
                <w:sz w:val="20"/>
                <w:szCs w:val="20"/>
                <w:color w:val="auto"/>
              </w:rPr>
            </w:pPr>
            <w:r>
              <w:rPr>
                <w:rFonts w:ascii="Arial" w:cs="Arial" w:eastAsia="Arial" w:hAnsi="Arial"/>
                <w:sz w:val="18"/>
                <w:szCs w:val="18"/>
                <w:color w:val="auto"/>
              </w:rPr>
              <w:t>Fractions of Shares</w:t>
            </w:r>
          </w:p>
        </w:tc>
        <w:tc>
          <w:tcPr>
            <w:tcW w:w="780" w:type="dxa"/>
            <w:vAlign w:val="bottom"/>
          </w:tcPr>
          <w:p>
            <w:pPr>
              <w:ind w:left="300"/>
              <w:spacing w:after="0"/>
              <w:rPr>
                <w:sz w:val="20"/>
                <w:szCs w:val="20"/>
                <w:color w:val="auto"/>
              </w:rPr>
            </w:pPr>
            <w:r>
              <w:rPr>
                <w:rFonts w:ascii="Arial" w:cs="Arial" w:eastAsia="Arial" w:hAnsi="Arial"/>
                <w:sz w:val="18"/>
                <w:szCs w:val="18"/>
                <w:color w:val="auto"/>
              </w:rPr>
              <w:t>67</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1604.</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Adjustment of Conversion Price</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67</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1605.</w:t>
            </w:r>
          </w:p>
        </w:tc>
        <w:tc>
          <w:tcPr>
            <w:tcW w:w="8680" w:type="dxa"/>
            <w:vAlign w:val="bottom"/>
          </w:tcPr>
          <w:p>
            <w:pPr>
              <w:ind w:left="260"/>
              <w:spacing w:after="0"/>
              <w:rPr>
                <w:sz w:val="20"/>
                <w:szCs w:val="20"/>
                <w:color w:val="auto"/>
              </w:rPr>
            </w:pPr>
            <w:r>
              <w:rPr>
                <w:rFonts w:ascii="Arial" w:cs="Arial" w:eastAsia="Arial" w:hAnsi="Arial"/>
                <w:sz w:val="18"/>
                <w:szCs w:val="18"/>
                <w:color w:val="auto"/>
              </w:rPr>
              <w:t>Notice of Adjustments of Conversion Price</w:t>
            </w:r>
          </w:p>
        </w:tc>
        <w:tc>
          <w:tcPr>
            <w:tcW w:w="780" w:type="dxa"/>
            <w:vAlign w:val="bottom"/>
          </w:tcPr>
          <w:p>
            <w:pPr>
              <w:ind w:left="300"/>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1606.</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 of Certain Corporate Action</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1607.</w:t>
            </w:r>
          </w:p>
        </w:tc>
        <w:tc>
          <w:tcPr>
            <w:tcW w:w="8680" w:type="dxa"/>
            <w:vAlign w:val="bottom"/>
          </w:tcPr>
          <w:p>
            <w:pPr>
              <w:ind w:left="260"/>
              <w:spacing w:after="0"/>
              <w:rPr>
                <w:sz w:val="20"/>
                <w:szCs w:val="20"/>
                <w:color w:val="auto"/>
              </w:rPr>
            </w:pPr>
            <w:r>
              <w:rPr>
                <w:rFonts w:ascii="Arial" w:cs="Arial" w:eastAsia="Arial" w:hAnsi="Arial"/>
                <w:sz w:val="18"/>
                <w:szCs w:val="18"/>
                <w:color w:val="auto"/>
              </w:rPr>
              <w:t>Company to Reserve Common Stock</w:t>
            </w:r>
          </w:p>
        </w:tc>
        <w:tc>
          <w:tcPr>
            <w:tcW w:w="780" w:type="dxa"/>
            <w:vAlign w:val="bottom"/>
          </w:tcPr>
          <w:p>
            <w:pPr>
              <w:ind w:left="300"/>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1608.</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Taxes on Conversion</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1609.</w:t>
            </w:r>
          </w:p>
        </w:tc>
        <w:tc>
          <w:tcPr>
            <w:tcW w:w="8680" w:type="dxa"/>
            <w:vAlign w:val="bottom"/>
          </w:tcPr>
          <w:p>
            <w:pPr>
              <w:ind w:left="260"/>
              <w:spacing w:after="0"/>
              <w:rPr>
                <w:sz w:val="20"/>
                <w:szCs w:val="20"/>
                <w:color w:val="auto"/>
              </w:rPr>
            </w:pPr>
            <w:r>
              <w:rPr>
                <w:rFonts w:ascii="Arial" w:cs="Arial" w:eastAsia="Arial" w:hAnsi="Arial"/>
                <w:sz w:val="18"/>
                <w:szCs w:val="18"/>
                <w:color w:val="auto"/>
              </w:rPr>
              <w:t>Covenants as to Common Stock</w:t>
            </w:r>
          </w:p>
        </w:tc>
        <w:tc>
          <w:tcPr>
            <w:tcW w:w="780" w:type="dxa"/>
            <w:vAlign w:val="bottom"/>
          </w:tcPr>
          <w:p>
            <w:pPr>
              <w:ind w:left="300"/>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1610.</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Cancellation of Converted Securities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1611.</w:t>
            </w:r>
          </w:p>
        </w:tc>
        <w:tc>
          <w:tcPr>
            <w:tcW w:w="8680" w:type="dxa"/>
            <w:vAlign w:val="bottom"/>
          </w:tcPr>
          <w:p>
            <w:pPr>
              <w:ind w:left="260"/>
              <w:spacing w:after="0"/>
              <w:rPr>
                <w:sz w:val="20"/>
                <w:szCs w:val="20"/>
                <w:color w:val="auto"/>
              </w:rPr>
            </w:pPr>
            <w:r>
              <w:rPr>
                <w:rFonts w:ascii="Arial" w:cs="Arial" w:eastAsia="Arial" w:hAnsi="Arial"/>
                <w:sz w:val="18"/>
                <w:szCs w:val="18"/>
                <w:color w:val="auto"/>
              </w:rPr>
              <w:t>Provisions in Case of Consolidation, Merger or Sale of Assets; Special Distributions</w:t>
            </w:r>
          </w:p>
        </w:tc>
        <w:tc>
          <w:tcPr>
            <w:tcW w:w="780" w:type="dxa"/>
            <w:vAlign w:val="bottom"/>
          </w:tcPr>
          <w:p>
            <w:pPr>
              <w:ind w:left="300"/>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1612.</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Trustee Adjustment Disclaimer; Company Determination Final</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73</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1613.</w:t>
            </w:r>
          </w:p>
        </w:tc>
        <w:tc>
          <w:tcPr>
            <w:tcW w:w="8680" w:type="dxa"/>
            <w:vAlign w:val="bottom"/>
          </w:tcPr>
          <w:p>
            <w:pPr>
              <w:ind w:left="260"/>
              <w:spacing w:after="0"/>
              <w:rPr>
                <w:sz w:val="20"/>
                <w:szCs w:val="20"/>
                <w:color w:val="auto"/>
              </w:rPr>
            </w:pPr>
            <w:r>
              <w:rPr>
                <w:rFonts w:ascii="Arial" w:cs="Arial" w:eastAsia="Arial" w:hAnsi="Arial"/>
                <w:sz w:val="18"/>
                <w:szCs w:val="18"/>
                <w:color w:val="auto"/>
              </w:rPr>
              <w:t>When No Adjustment Required</w:t>
            </w:r>
          </w:p>
        </w:tc>
        <w:tc>
          <w:tcPr>
            <w:tcW w:w="780" w:type="dxa"/>
            <w:vAlign w:val="bottom"/>
          </w:tcPr>
          <w:p>
            <w:pPr>
              <w:ind w:left="300"/>
              <w:spacing w:after="0"/>
              <w:rPr>
                <w:sz w:val="20"/>
                <w:szCs w:val="20"/>
                <w:color w:val="auto"/>
              </w:rPr>
            </w:pPr>
            <w:r>
              <w:rPr>
                <w:rFonts w:ascii="Arial" w:cs="Arial" w:eastAsia="Arial" w:hAnsi="Arial"/>
                <w:sz w:val="18"/>
                <w:szCs w:val="18"/>
                <w:color w:val="auto"/>
              </w:rPr>
              <w:t>73</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1614.</w:t>
            </w:r>
          </w:p>
        </w:tc>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Equivalent Adjustments</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73</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160" w:type="dxa"/>
            <w:vAlign w:val="bottom"/>
            <w:gridSpan w:val="3"/>
          </w:tcPr>
          <w:p>
            <w:pPr>
              <w:ind w:left="260"/>
              <w:spacing w:after="0"/>
              <w:rPr>
                <w:sz w:val="20"/>
                <w:szCs w:val="20"/>
                <w:color w:val="auto"/>
              </w:rPr>
            </w:pPr>
            <w:r>
              <w:rPr>
                <w:rFonts w:ascii="Arial" w:cs="Arial" w:eastAsia="Arial" w:hAnsi="Arial"/>
                <w:sz w:val="18"/>
                <w:szCs w:val="18"/>
                <w:b w:val="1"/>
                <w:bCs w:val="1"/>
                <w:color w:val="auto"/>
              </w:rPr>
              <w:t>OPTIMIZERX CORPORATION</w:t>
            </w:r>
          </w:p>
        </w:tc>
      </w:tr>
      <w:tr>
        <w:trPr>
          <w:trHeight w:val="418"/>
        </w:trPr>
        <w:tc>
          <w:tcPr>
            <w:tcW w:w="11240" w:type="dxa"/>
            <w:vAlign w:val="bottom"/>
            <w:gridSpan w:val="4"/>
          </w:tcPr>
          <w:p>
            <w:pPr>
              <w:ind w:left="660"/>
              <w:spacing w:after="0"/>
              <w:rPr>
                <w:sz w:val="20"/>
                <w:szCs w:val="20"/>
                <w:color w:val="auto"/>
              </w:rPr>
            </w:pPr>
            <w:r>
              <w:rPr>
                <w:rFonts w:ascii="Arial" w:cs="Arial" w:eastAsia="Arial" w:hAnsi="Arial"/>
                <w:sz w:val="18"/>
                <w:szCs w:val="18"/>
                <w:color w:val="auto"/>
                <w:w w:val="93"/>
              </w:rPr>
              <w:t>Reconciliation and tie between the Trust Indenture Act of 1939, as amended (the “Trust Indenture Act” or “TIA”) and the Indenture, dated as of</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__________, 20____.</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655"/>
        </w:trPr>
        <w:tc>
          <w:tcPr>
            <w:tcW w:w="408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Trust Indenture Act Section</w:t>
            </w: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Indenture Section</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310(a)(1)</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(a)(2)</w:t>
            </w:r>
          </w:p>
        </w:tc>
        <w:tc>
          <w:tcPr>
            <w:tcW w:w="7160" w:type="dxa"/>
            <w:vAlign w:val="bottom"/>
            <w:gridSpan w:val="3"/>
          </w:tcPr>
          <w:p>
            <w:pPr>
              <w:jc w:val="center"/>
              <w:ind w:left="1570"/>
              <w:spacing w:after="0"/>
              <w:rPr>
                <w:sz w:val="20"/>
                <w:szCs w:val="20"/>
                <w:color w:val="auto"/>
              </w:rPr>
            </w:pPr>
            <w:r>
              <w:rPr>
                <w:rFonts w:ascii="Arial" w:cs="Arial" w:eastAsia="Arial" w:hAnsi="Arial"/>
                <w:sz w:val="18"/>
                <w:szCs w:val="18"/>
                <w:color w:val="auto"/>
                <w:w w:val="86"/>
              </w:rPr>
              <w:t>607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716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88"/>
              </w:rPr>
              <w:t>607, 608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 312(c)</w:t>
            </w:r>
          </w:p>
        </w:tc>
        <w:tc>
          <w:tcPr>
            <w:tcW w:w="7160" w:type="dxa"/>
            <w:vAlign w:val="bottom"/>
            <w:gridSpan w:val="3"/>
          </w:tcPr>
          <w:p>
            <w:pPr>
              <w:jc w:val="center"/>
              <w:ind w:left="1570"/>
              <w:spacing w:after="0"/>
              <w:rPr>
                <w:sz w:val="20"/>
                <w:szCs w:val="20"/>
                <w:color w:val="auto"/>
              </w:rPr>
            </w:pPr>
            <w:r>
              <w:rPr>
                <w:rFonts w:ascii="Arial" w:cs="Arial" w:eastAsia="Arial" w:hAnsi="Arial"/>
                <w:sz w:val="18"/>
                <w:szCs w:val="18"/>
                <w:color w:val="auto"/>
                <w:w w:val="86"/>
              </w:rPr>
              <w:t>701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313(a)</w:t>
            </w:r>
          </w:p>
        </w:tc>
        <w:tc>
          <w:tcPr>
            <w:tcW w:w="716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86"/>
              </w:rPr>
              <w:t>702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w:t>
            </w:r>
          </w:p>
        </w:tc>
        <w:tc>
          <w:tcPr>
            <w:tcW w:w="7160" w:type="dxa"/>
            <w:vAlign w:val="bottom"/>
            <w:gridSpan w:val="3"/>
          </w:tcPr>
          <w:p>
            <w:pPr>
              <w:jc w:val="center"/>
              <w:ind w:left="1570"/>
              <w:spacing w:after="0"/>
              <w:rPr>
                <w:sz w:val="20"/>
                <w:szCs w:val="20"/>
                <w:color w:val="auto"/>
              </w:rPr>
            </w:pPr>
            <w:r>
              <w:rPr>
                <w:rFonts w:ascii="Arial" w:cs="Arial" w:eastAsia="Arial" w:hAnsi="Arial"/>
                <w:sz w:val="18"/>
                <w:szCs w:val="18"/>
                <w:color w:val="auto"/>
                <w:w w:val="86"/>
              </w:rPr>
              <w:t>702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314(a)</w:t>
            </w:r>
          </w:p>
        </w:tc>
        <w:tc>
          <w:tcPr>
            <w:tcW w:w="716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86"/>
              </w:rPr>
              <w:t>703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(a)(4)</w:t>
            </w:r>
          </w:p>
        </w:tc>
        <w:tc>
          <w:tcPr>
            <w:tcW w:w="7160" w:type="dxa"/>
            <w:vAlign w:val="bottom"/>
            <w:gridSpan w:val="3"/>
          </w:tcPr>
          <w:p>
            <w:pPr>
              <w:jc w:val="center"/>
              <w:ind w:left="1590"/>
              <w:spacing w:after="0"/>
              <w:rPr>
                <w:sz w:val="20"/>
                <w:szCs w:val="20"/>
                <w:color w:val="auto"/>
              </w:rPr>
            </w:pPr>
            <w:r>
              <w:rPr>
                <w:rFonts w:ascii="Arial" w:cs="Arial" w:eastAsia="Arial" w:hAnsi="Arial"/>
                <w:sz w:val="18"/>
                <w:szCs w:val="18"/>
                <w:color w:val="auto"/>
                <w:w w:val="89"/>
              </w:rPr>
              <w:t>1008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(c)(1)</w:t>
            </w:r>
          </w:p>
        </w:tc>
        <w:tc>
          <w:tcPr>
            <w:tcW w:w="716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86"/>
              </w:rPr>
              <w:t>102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(c)(2)</w:t>
            </w:r>
          </w:p>
        </w:tc>
        <w:tc>
          <w:tcPr>
            <w:tcW w:w="7160" w:type="dxa"/>
            <w:vAlign w:val="bottom"/>
            <w:gridSpan w:val="3"/>
          </w:tcPr>
          <w:p>
            <w:pPr>
              <w:jc w:val="center"/>
              <w:ind w:left="1570"/>
              <w:spacing w:after="0"/>
              <w:rPr>
                <w:sz w:val="20"/>
                <w:szCs w:val="20"/>
                <w:color w:val="auto"/>
              </w:rPr>
            </w:pPr>
            <w:r>
              <w:rPr>
                <w:rFonts w:ascii="Arial" w:cs="Arial" w:eastAsia="Arial" w:hAnsi="Arial"/>
                <w:sz w:val="18"/>
                <w:szCs w:val="18"/>
                <w:color w:val="auto"/>
                <w:w w:val="86"/>
              </w:rPr>
              <w:t>102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716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86"/>
              </w:rPr>
              <w:t>102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 315(b)</w:t>
            </w:r>
          </w:p>
        </w:tc>
        <w:tc>
          <w:tcPr>
            <w:tcW w:w="7160" w:type="dxa"/>
            <w:vAlign w:val="bottom"/>
            <w:gridSpan w:val="3"/>
          </w:tcPr>
          <w:p>
            <w:pPr>
              <w:jc w:val="center"/>
              <w:ind w:left="1570"/>
              <w:spacing w:after="0"/>
              <w:rPr>
                <w:sz w:val="20"/>
                <w:szCs w:val="20"/>
                <w:color w:val="auto"/>
              </w:rPr>
            </w:pPr>
            <w:r>
              <w:rPr>
                <w:rFonts w:ascii="Arial" w:cs="Arial" w:eastAsia="Arial" w:hAnsi="Arial"/>
                <w:sz w:val="18"/>
                <w:szCs w:val="18"/>
                <w:color w:val="auto"/>
                <w:w w:val="86"/>
              </w:rPr>
              <w:t>601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316(a) (last sentence)</w:t>
            </w:r>
          </w:p>
        </w:tc>
        <w:tc>
          <w:tcPr>
            <w:tcW w:w="716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86"/>
              </w:rPr>
              <w:t>101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(a)(1)(A)</w:t>
            </w:r>
          </w:p>
        </w:tc>
        <w:tc>
          <w:tcPr>
            <w:tcW w:w="7160" w:type="dxa"/>
            <w:vAlign w:val="bottom"/>
            <w:gridSpan w:val="3"/>
          </w:tcPr>
          <w:p>
            <w:pPr>
              <w:jc w:val="center"/>
              <w:ind w:left="1570"/>
              <w:spacing w:after="0"/>
              <w:rPr>
                <w:sz w:val="20"/>
                <w:szCs w:val="20"/>
                <w:color w:val="auto"/>
              </w:rPr>
            </w:pPr>
            <w:r>
              <w:rPr>
                <w:rFonts w:ascii="Arial" w:cs="Arial" w:eastAsia="Arial" w:hAnsi="Arial"/>
                <w:sz w:val="18"/>
                <w:szCs w:val="18"/>
                <w:color w:val="auto"/>
                <w:w w:val="86"/>
              </w:rPr>
              <w:t>512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(a)(1)(B)</w:t>
            </w:r>
          </w:p>
        </w:tc>
        <w:tc>
          <w:tcPr>
            <w:tcW w:w="716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86"/>
              </w:rPr>
              <w:t>513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w:t>
            </w:r>
          </w:p>
        </w:tc>
        <w:tc>
          <w:tcPr>
            <w:tcW w:w="7160" w:type="dxa"/>
            <w:vAlign w:val="bottom"/>
            <w:gridSpan w:val="3"/>
          </w:tcPr>
          <w:p>
            <w:pPr>
              <w:jc w:val="center"/>
              <w:ind w:left="1570"/>
              <w:spacing w:after="0"/>
              <w:rPr>
                <w:sz w:val="20"/>
                <w:szCs w:val="20"/>
                <w:color w:val="auto"/>
              </w:rPr>
            </w:pPr>
            <w:r>
              <w:rPr>
                <w:rFonts w:ascii="Arial" w:cs="Arial" w:eastAsia="Arial" w:hAnsi="Arial"/>
                <w:sz w:val="18"/>
                <w:szCs w:val="18"/>
                <w:color w:val="auto"/>
                <w:w w:val="86"/>
              </w:rPr>
              <w:t>508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317(a)(1)</w:t>
            </w:r>
          </w:p>
        </w:tc>
        <w:tc>
          <w:tcPr>
            <w:tcW w:w="716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88"/>
              </w:rPr>
              <w:t>503, 505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(a)(2)</w:t>
            </w:r>
          </w:p>
        </w:tc>
        <w:tc>
          <w:tcPr>
            <w:tcW w:w="7160" w:type="dxa"/>
            <w:vAlign w:val="bottom"/>
            <w:gridSpan w:val="3"/>
          </w:tcPr>
          <w:p>
            <w:pPr>
              <w:jc w:val="center"/>
              <w:ind w:left="1570"/>
              <w:spacing w:after="0"/>
              <w:rPr>
                <w:sz w:val="20"/>
                <w:szCs w:val="20"/>
                <w:color w:val="auto"/>
              </w:rPr>
            </w:pPr>
            <w:r>
              <w:rPr>
                <w:rFonts w:ascii="Arial" w:cs="Arial" w:eastAsia="Arial" w:hAnsi="Arial"/>
                <w:sz w:val="18"/>
                <w:szCs w:val="18"/>
                <w:color w:val="auto"/>
                <w:w w:val="86"/>
              </w:rPr>
              <w:t>504</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318(a)</w:t>
            </w:r>
          </w:p>
        </w:tc>
        <w:tc>
          <w:tcPr>
            <w:tcW w:w="716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86"/>
              </w:rPr>
              <w:t>111</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w:t>
            </w:r>
          </w:p>
        </w:tc>
        <w:tc>
          <w:tcPr>
            <w:tcW w:w="7160" w:type="dxa"/>
            <w:vAlign w:val="bottom"/>
            <w:gridSpan w:val="3"/>
          </w:tcPr>
          <w:p>
            <w:pPr>
              <w:jc w:val="center"/>
              <w:ind w:left="1570"/>
              <w:spacing w:after="0"/>
              <w:rPr>
                <w:sz w:val="20"/>
                <w:szCs w:val="20"/>
                <w:color w:val="auto"/>
              </w:rPr>
            </w:pPr>
            <w:r>
              <w:rPr>
                <w:rFonts w:ascii="Arial" w:cs="Arial" w:eastAsia="Arial" w:hAnsi="Arial"/>
                <w:sz w:val="18"/>
                <w:szCs w:val="18"/>
                <w:color w:val="auto"/>
                <w:w w:val="86"/>
              </w:rPr>
              <w:t>111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b w:val="1"/>
          <w:bCs w:val="1"/>
          <w:color w:val="auto"/>
        </w:rPr>
        <w:t>INDENTURE</w:t>
      </w:r>
      <w:r>
        <w:rPr>
          <w:rFonts w:ascii="Arial" w:cs="Arial" w:eastAsia="Arial" w:hAnsi="Arial"/>
          <w:sz w:val="16"/>
          <w:szCs w:val="16"/>
          <w:color w:val="auto"/>
        </w:rPr>
        <w:t>, dated as of __________, 20___, between OPTIMIZERX CORPORATION., a corporation organized under the laws of the State of</w:t>
      </w:r>
    </w:p>
    <w:p>
      <w:pPr>
        <w:spacing w:after="0" w:line="5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Nevada (hereinafter called the “Company”), having its principal office at 400 Water Street, Suite 200, Rochester, MI 48307, and [</w:t>
      </w:r>
      <w:r>
        <w:rPr>
          <w:rFonts w:ascii="Arial" w:cs="Arial" w:eastAsia="Arial" w:hAnsi="Arial"/>
          <w:sz w:val="18"/>
          <w:szCs w:val="18"/>
          <w:u w:val="single" w:color="auto"/>
          <w:color w:val="auto"/>
        </w:rPr>
        <w:t>NAME OF TRUSTEE</w:t>
      </w:r>
      <w:r>
        <w:rPr>
          <w:rFonts w:ascii="Arial" w:cs="Arial" w:eastAsia="Arial" w:hAnsi="Arial"/>
          <w:sz w:val="18"/>
          <w:szCs w:val="18"/>
          <w:color w:val="auto"/>
        </w:rPr>
        <w:t>], as Trustee hereunder (hereinafter called the “Trustee”), having a Corporate Trust Office at [____________________].</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things necessary to make this Indenture a valid and legally binding agreement of the Company, in accordance with its terms, have been done.</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all purposes of this Indenture, except as otherwise expressly provided or unless the context otherwise requires:</w:t>
      </w:r>
    </w:p>
    <w:p>
      <w:pPr>
        <w:spacing w:after="0" w:line="252" w:lineRule="exact"/>
        <w:rPr>
          <w:sz w:val="20"/>
          <w:szCs w:val="20"/>
          <w:color w:val="auto"/>
        </w:rPr>
      </w:pPr>
    </w:p>
    <w:p>
      <w:pPr>
        <w:ind w:left="1560" w:hanging="256"/>
        <w:spacing w:after="0"/>
        <w:tabs>
          <w:tab w:leader="none" w:pos="15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right="40" w:firstLine="1304"/>
        <w:spacing w:after="0" w:line="263" w:lineRule="auto"/>
        <w:tabs>
          <w:tab w:leader="none" w:pos="15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225" w:lineRule="exact"/>
        <w:rPr>
          <w:rFonts w:ascii="Arial" w:cs="Arial" w:eastAsia="Arial" w:hAnsi="Arial"/>
          <w:sz w:val="18"/>
          <w:szCs w:val="18"/>
          <w:color w:val="auto"/>
        </w:rPr>
      </w:pPr>
    </w:p>
    <w:p>
      <w:pPr>
        <w:ind w:right="420" w:firstLine="1304"/>
        <w:spacing w:after="0" w:line="277" w:lineRule="auto"/>
        <w:tabs>
          <w:tab w:leader="none" w:pos="15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“Act,” when used with respect to any Holder, has the meaning specified in Section 104.</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611 hereof to act on behalf of the Trustee to authenticate Securities of one or more Series.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“Authorized Newspaper”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“Bankruptcy Law”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“Bearer Security” means any Security established pursuant to Section 301 which is payable to the bearer.</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“Board of Directors”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4"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“Board Resolution”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6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“Business Day,”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“Clearstream” means Clearstream Banking Luxembourg, société anonyme,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“Closing Price” means the closing price of a share of Common Stock of the Company as reported on the NASDAQ Capital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means the Internal Revenue Code of 1986, as amended, and the regulations thereunder.</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“Commission”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Depository” has the meaning specified in Section 304.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means, with respect to any Person, all shares of capital stock issued by such Person other than Preferred Stock.</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“Company”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4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“Company Request” and “Company Order”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“Constituent Person” has the meaning specified in Section 1611.</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“Conversion Event”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Price” has the meaning specified in Section 1601.</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principally administered, which office at the date hereof is located at [________________].</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includes corporations, associations, limited liability companies and business trusts.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“coupon” means any interest coupon appertaining to a Bearer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“Covenant Defeasance” has the meaning specified in Section 1403.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“Custodian”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“Defeasance” has the meaning specified in Section 1402.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“Distribution Record Date” has the meaning specified in Section 1611.</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“Dividend Record Date” has the meaning specified in Section 1604.</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“Dollar” or the sign “$”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means The Depository Trust Company and any successor to DTC in its capacity as depository for any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“ECU” means the European Currency Unit as defined and revised from time to time by the Council of the European Communities.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“Euroclear” means Morgan Guaranty Trust Company of New York, Brussels office, or its successor, as operator of the Euroclear System.</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“European Communities” means the European Economic Community, the European Coal and Steel Community and the European Atomic Energy Community.</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“European Monetary System” means the European Monetary System established by the Resolution of December 5, 1978 of the Council of the European Communities.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501.</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“Exchange Act” means the Securities Exchange Act of 1934, as amended, as in force at the date as of which this Indenture was executed; provided, however, that in the event the Exchange Act is amended after such date, “Exchange Act” means to the extent required by any such amendment, the Exchange Act as so amended.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Date” has the meaning specified in Section 304.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“FINRA” means the Financial Industry Regulatory Authority, Inc.</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”Foreign Currency”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2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“GAAP” means, except as otherwise provided herein, generally accepted accounting principles, as in effect from time to time, as used in the United States applied on a consistent basis.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“Global Security” means a Security evidencing all or a part of a series of Securities issued to and registered in the name of the depository for such series, or its nominee, in accordance with Section 305, and bearing the legend prescribed in Section 203.</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“Government Obligations”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ind w:right="60" w:firstLine="648"/>
        <w:spacing w:after="0" w:line="277" w:lineRule="auto"/>
        <w:rPr>
          <w:sz w:val="20"/>
          <w:szCs w:val="20"/>
          <w:color w:val="auto"/>
        </w:rPr>
      </w:pPr>
      <w:r>
        <w:rPr>
          <w:rFonts w:ascii="Arial" w:cs="Arial" w:eastAsia="Arial" w:hAnsi="Arial"/>
          <w:sz w:val="18"/>
          <w:szCs w:val="18"/>
          <w:color w:val="auto"/>
        </w:rPr>
        <w:t>“Holder”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“Indenture”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provided, however,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”Indexed Security”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shall mean interest payable after Maturity.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“Make-Whole Amount,”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“mandatory sinking fund payment” has the meaning specified in Section 1201.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Value of the Distribution” has the meaning specified in Section 1604.</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“Maturity,”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right="140" w:firstLine="648"/>
        <w:spacing w:after="0" w:line="263" w:lineRule="auto"/>
        <w:rPr>
          <w:sz w:val="20"/>
          <w:szCs w:val="20"/>
          <w:color w:val="auto"/>
        </w:rPr>
      </w:pPr>
      <w:r>
        <w:rPr>
          <w:rFonts w:ascii="Arial" w:cs="Arial" w:eastAsia="Arial" w:hAnsi="Arial"/>
          <w:sz w:val="18"/>
          <w:szCs w:val="18"/>
          <w:color w:val="auto"/>
        </w:rPr>
        <w:t>“Officers’ Certificate”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the Company or who may be an employee of or other counsel for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“optional sinking fund payment” has the meaning specified in Section 1201.</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“Original Issue Discount Security”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ind w:right="40" w:firstLine="656"/>
        <w:spacing w:after="0" w:line="257" w:lineRule="auto"/>
        <w:tabs>
          <w:tab w:leader="none" w:pos="9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however, that, if such Securities are to be redeemed, notice of such redemption has been duly given pursuant to this Indenture or provision therefor satisfactory to the Trustee has been made;</w:t>
      </w:r>
    </w:p>
    <w:p>
      <w:pPr>
        <w:spacing w:after="0" w:line="187" w:lineRule="exact"/>
        <w:rPr>
          <w:rFonts w:ascii="Arial" w:cs="Arial" w:eastAsia="Arial" w:hAnsi="Arial"/>
          <w:sz w:val="18"/>
          <w:szCs w:val="18"/>
          <w:color w:val="auto"/>
        </w:rPr>
      </w:pPr>
    </w:p>
    <w:p>
      <w:pPr>
        <w:ind w:right="500" w:firstLine="656"/>
        <w:spacing w:after="0" w:line="277" w:lineRule="auto"/>
        <w:tabs>
          <w:tab w:leader="none" w:pos="9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170" w:lineRule="exact"/>
        <w:rPr>
          <w:rFonts w:ascii="Arial" w:cs="Arial" w:eastAsia="Arial" w:hAnsi="Arial"/>
          <w:sz w:val="18"/>
          <w:szCs w:val="18"/>
          <w:color w:val="auto"/>
        </w:rPr>
      </w:pPr>
    </w:p>
    <w:p>
      <w:pPr>
        <w:ind w:right="40" w:firstLine="656"/>
        <w:spacing w:after="0" w:line="286" w:lineRule="auto"/>
        <w:tabs>
          <w:tab w:leader="none" w:pos="9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determining whether the Holders of the requisite principal amount of the Outstanding Securities have given any request, demand,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right="160"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(and premium or Make-Whole Amount, if any) or interest on any Securities or coupons on behalf of the Company.</w:t>
      </w:r>
    </w:p>
    <w:p>
      <w:pPr>
        <w:spacing w:after="0" w:line="170"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“Person”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46"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“Place of Payment,”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24"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“Preferred Stock”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“Redemption Price,”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Date” has the meaning specified in Section 1604.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Security” shall mean any Security which is registered in the Security Register.</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“Repayment Date”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”Repayment Price” means, when used with respect to any Security to be repaid at the option of the Holder, the price at which it is to be repaid by or pursuant to this Indenture.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7" w:name="page48"/>
    <w:bookmarkEnd w:id="47"/>
    <w:p>
      <w:pPr>
        <w:ind w:right="200" w:firstLine="648"/>
        <w:spacing w:after="0" w:line="255" w:lineRule="auto"/>
        <w:rPr>
          <w:sz w:val="20"/>
          <w:szCs w:val="20"/>
          <w:color w:val="auto"/>
        </w:rPr>
      </w:pPr>
      <w:r>
        <w:rPr>
          <w:rFonts w:ascii="Arial" w:cs="Arial" w:eastAsia="Arial" w:hAnsi="Arial"/>
          <w:sz w:val="18"/>
          <w:szCs w:val="18"/>
          <w:color w:val="auto"/>
        </w:rPr>
        <w:t>“Responsible Officer,”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“Rights” has the meaning specified in Section 1604.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“Rights Record Date” has the meaning specified in Section 1604.</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“Security” and “Securities” has the meaning stated in the first recital of this Indenture and, more particularly, means any Security or Securities authenticated and delivered under this Indenture; provided, however,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and “Security Registrar” have the respective meanings specified in Section 305.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“Series” of Securities means all securities denoted as part of the same series authorized by or pursuant to a particular Board Resolution.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“Short Term Rights” has the meaning specified in Section 1604.</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“Significant Subsidiary” means any Subsidiary which is a “significant subsidiary” (as defined in Article I, Rule 1-02 of Regulation S-X, promulgated under the Securities Act of 1933, as amended) of the Company.</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“Special Record Date” for the payment of any Defaulted Interest on the Registered Securities of or within any series means a date fixed by the Company pursuant to Section 307.</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“Subsidiary”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“Trading Day” means any day on which the NASDAQ Capital Market is open for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“Trigger Events” has the meaning specified in Section 1604.</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“Trust Indenture Act” or “TIA” means the Trust Indenture Act of 1939, as amended and as in force at the date as of which this Indenture was executed, except as provided in Section 905.</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however,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“Unadjusted Distribution” has the meaning specified in Section 1604.</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“United States”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“United States Person”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“Yield to Maturity”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(including certificates delivered pursuant to Section 1008) shall include: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 a statement that each individual signing such certificate or opinion has read such condition or covenant and the definitions herein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relating thereto;</w:t>
      </w:r>
    </w:p>
    <w:p>
      <w:pPr>
        <w:spacing w:after="0" w:line="211" w:lineRule="exact"/>
        <w:rPr>
          <w:sz w:val="20"/>
          <w:szCs w:val="20"/>
          <w:color w:val="auto"/>
        </w:rPr>
      </w:pPr>
    </w:p>
    <w:p>
      <w:pPr>
        <w:ind w:right="280" w:firstLine="1304"/>
        <w:spacing w:after="0" w:line="277" w:lineRule="auto"/>
        <w:tabs>
          <w:tab w:leader="none" w:pos="15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right="160" w:firstLine="1304"/>
        <w:spacing w:after="0" w:line="277" w:lineRule="auto"/>
        <w:tabs>
          <w:tab w:leader="none" w:pos="15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b w:val="1"/>
          <w:bCs w:val="1"/>
          <w:color w:val="auto"/>
        </w:rPr>
        <w:t xml:space="preserve">SECTION 103. </w:t>
      </w:r>
      <w:r>
        <w:rPr>
          <w:rFonts w:ascii="Arial" w:cs="Arial" w:eastAsia="Arial" w:hAnsi="Arial"/>
          <w:sz w:val="16"/>
          <w:szCs w:val="16"/>
          <w:b w:val="1"/>
          <w:bCs w:val="1"/>
          <w:u w:val="single" w:color="auto"/>
          <w:color w:val="auto"/>
        </w:rPr>
        <w:t>Form of Documents Delivered to Trustee</w:t>
      </w:r>
      <w:r>
        <w:rPr>
          <w:rFonts w:ascii="Arial" w:cs="Arial" w:eastAsia="Arial" w:hAnsi="Arial"/>
          <w:sz w:val="16"/>
          <w:szCs w:val="16"/>
          <w:color w:val="auto"/>
        </w:rPr>
        <w:t>. In any case where several matters are required to be certified by, or covered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5" w:lineRule="exact"/>
        <w:rPr>
          <w:sz w:val="20"/>
          <w:szCs w:val="20"/>
          <w:color w:val="auto"/>
        </w:rPr>
      </w:pPr>
    </w:p>
    <w:p>
      <w:pPr>
        <w:jc w:val="both"/>
        <w:ind w:right="440" w:firstLine="648"/>
        <w:spacing w:after="0" w:line="293"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6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Acts of Holders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86" w:lineRule="auto"/>
        <w:tabs>
          <w:tab w:leader="none" w:pos="892"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right="200" w:firstLine="656"/>
        <w:spacing w:after="0" w:line="296" w:lineRule="auto"/>
        <w:tabs>
          <w:tab w:leader="none" w:pos="90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61" w:lineRule="exact"/>
        <w:rPr>
          <w:rFonts w:ascii="Arial" w:cs="Arial" w:eastAsia="Arial" w:hAnsi="Arial"/>
          <w:sz w:val="16"/>
          <w:szCs w:val="16"/>
          <w:color w:val="auto"/>
        </w:rPr>
      </w:pPr>
    </w:p>
    <w:p>
      <w:pPr>
        <w:ind w:right="140" w:firstLine="656"/>
        <w:spacing w:after="0" w:line="277" w:lineRule="auto"/>
        <w:tabs>
          <w:tab w:leader="none" w:pos="8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70" w:lineRule="exact"/>
        <w:rPr>
          <w:rFonts w:ascii="Arial" w:cs="Arial" w:eastAsia="Arial" w:hAnsi="Arial"/>
          <w:sz w:val="18"/>
          <w:szCs w:val="18"/>
          <w:color w:val="auto"/>
        </w:rPr>
      </w:pPr>
    </w:p>
    <w:p>
      <w:pPr>
        <w:ind w:firstLine="656"/>
        <w:spacing w:after="0" w:line="290" w:lineRule="auto"/>
        <w:tabs>
          <w:tab w:leader="none" w:pos="90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65" w:lineRule="exact"/>
        <w:rPr>
          <w:rFonts w:ascii="Arial" w:cs="Arial" w:eastAsia="Arial" w:hAnsi="Arial"/>
          <w:sz w:val="16"/>
          <w:szCs w:val="16"/>
          <w:color w:val="auto"/>
        </w:rPr>
      </w:pPr>
    </w:p>
    <w:p>
      <w:pPr>
        <w:ind w:right="60" w:firstLine="656"/>
        <w:spacing w:after="0" w:line="269" w:lineRule="auto"/>
        <w:tabs>
          <w:tab w:leader="none" w:pos="892"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w:t>
      </w:r>
    </w:p>
    <w:p>
      <w:pPr>
        <w:spacing w:after="0" w:line="181" w:lineRule="exact"/>
        <w:rPr>
          <w:rFonts w:ascii="Arial" w:cs="Arial" w:eastAsia="Arial" w:hAnsi="Arial"/>
          <w:sz w:val="17"/>
          <w:szCs w:val="17"/>
          <w:color w:val="auto"/>
        </w:rPr>
      </w:pPr>
    </w:p>
    <w:p>
      <w:pPr>
        <w:jc w:val="both"/>
        <w:ind w:right="20" w:firstLine="656"/>
        <w:spacing w:after="0" w:line="279" w:lineRule="auto"/>
        <w:tabs>
          <w:tab w:leader="none" w:pos="873"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document provided or permitted by this Indenture to be made upon, given or furnished to, or filed with,</w:t>
      </w:r>
    </w:p>
    <w:p>
      <w:pPr>
        <w:spacing w:after="0" w:line="166" w:lineRule="exact"/>
        <w:rPr>
          <w:sz w:val="20"/>
          <w:szCs w:val="20"/>
          <w:color w:val="auto"/>
        </w:rPr>
      </w:pPr>
    </w:p>
    <w:p>
      <w:pPr>
        <w:jc w:val="both"/>
        <w:ind w:right="360" w:firstLine="1304"/>
        <w:spacing w:after="0" w:line="342" w:lineRule="auto"/>
        <w:tabs>
          <w:tab w:leader="none" w:pos="155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Trustee by any Holder or by the Company shall be sufficient for every purpose hereunder if made, given, furnished or filed in writing to or with the Trustee at [ ] or at any other address previously furnished in writing to the Company by the Trustee, Attention: [__________]; or</w:t>
      </w:r>
    </w:p>
    <w:p>
      <w:pPr>
        <w:spacing w:after="0" w:line="123" w:lineRule="exact"/>
        <w:rPr>
          <w:rFonts w:ascii="Arial" w:cs="Arial" w:eastAsia="Arial" w:hAnsi="Arial"/>
          <w:sz w:val="16"/>
          <w:szCs w:val="16"/>
          <w:color w:val="auto"/>
        </w:rPr>
      </w:pPr>
    </w:p>
    <w:p>
      <w:pPr>
        <w:jc w:val="both"/>
        <w:ind w:right="420" w:firstLine="1304"/>
        <w:spacing w:after="0" w:line="311" w:lineRule="auto"/>
        <w:tabs>
          <w:tab w:leader="none" w:pos="155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[__________]; or</w:t>
      </w:r>
    </w:p>
    <w:p>
      <w:pPr>
        <w:spacing w:after="0" w:line="148" w:lineRule="exact"/>
        <w:rPr>
          <w:rFonts w:ascii="Arial" w:cs="Arial" w:eastAsia="Arial" w:hAnsi="Arial"/>
          <w:sz w:val="16"/>
          <w:szCs w:val="16"/>
          <w:color w:val="auto"/>
        </w:rPr>
      </w:pPr>
    </w:p>
    <w:p>
      <w:pPr>
        <w:ind w:right="320" w:firstLine="1304"/>
        <w:spacing w:after="0" w:line="263" w:lineRule="auto"/>
        <w:tabs>
          <w:tab w:leader="none" w:pos="15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 [__________]; and if to the Company at facsimile number [__________].</w:t>
      </w:r>
    </w:p>
    <w:p>
      <w:pPr>
        <w:spacing w:after="0" w:line="18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Notice to Holders; Waiver</w:t>
      </w:r>
      <w:r>
        <w:rPr>
          <w:rFonts w:ascii="Arial" w:cs="Arial" w:eastAsia="Arial" w:hAnsi="Arial"/>
          <w:sz w:val="18"/>
          <w:szCs w:val="18"/>
          <w:color w:val="auto"/>
        </w:rPr>
        <w:t>. Where this Indenture provides for notice of any event to Holders of Registered Securities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96"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76"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2" w:name="page53"/>
    <w:bookmarkEnd w:id="52"/>
    <w:p>
      <w:pPr>
        <w:ind w:right="660" w:firstLine="648"/>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0"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 xml:space="preserve">SECTION 107. </w:t>
      </w:r>
      <w:r>
        <w:rPr>
          <w:rFonts w:ascii="Arial" w:cs="Arial" w:eastAsia="Arial" w:hAnsi="Arial"/>
          <w:sz w:val="17"/>
          <w:szCs w:val="17"/>
          <w:b w:val="1"/>
          <w:bCs w:val="1"/>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5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SECTION 108.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so expressed or not.</w:t>
      </w:r>
    </w:p>
    <w:p>
      <w:pPr>
        <w:spacing w:after="0" w:line="162" w:lineRule="exact"/>
        <w:rPr>
          <w:sz w:val="20"/>
          <w:szCs w:val="20"/>
          <w:color w:val="auto"/>
        </w:rPr>
      </w:pPr>
    </w:p>
    <w:p>
      <w:pPr>
        <w:ind w:right="680" w:firstLine="648"/>
        <w:spacing w:after="0" w:line="347" w:lineRule="auto"/>
        <w:rPr>
          <w:sz w:val="20"/>
          <w:szCs w:val="20"/>
          <w:color w:val="auto"/>
        </w:rPr>
      </w:pPr>
      <w:r>
        <w:rPr>
          <w:rFonts w:ascii="Arial" w:cs="Arial" w:eastAsia="Arial" w:hAnsi="Arial"/>
          <w:sz w:val="16"/>
          <w:szCs w:val="16"/>
          <w:b w:val="1"/>
          <w:bCs w:val="1"/>
          <w:color w:val="auto"/>
        </w:rPr>
        <w:t xml:space="preserve">SECTION 109. </w:t>
      </w:r>
      <w:r>
        <w:rPr>
          <w:rFonts w:ascii="Arial" w:cs="Arial" w:eastAsia="Arial" w:hAnsi="Arial"/>
          <w:sz w:val="16"/>
          <w:szCs w:val="16"/>
          <w:b w:val="1"/>
          <w:bCs w:val="1"/>
          <w:u w:val="single" w:color="auto"/>
          <w:color w:val="auto"/>
        </w:rPr>
        <w:t>Severability Clause</w:t>
      </w:r>
      <w:r>
        <w:rPr>
          <w:rFonts w:ascii="Arial" w:cs="Arial" w:eastAsia="Arial" w:hAnsi="Arial"/>
          <w:sz w:val="16"/>
          <w:szCs w:val="16"/>
          <w:color w:val="auto"/>
        </w:rPr>
        <w:t>. In case any provision in this Indenture or in any Security or coupon shall be held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the validity, legality and enforceability of the remaining provisions shall not in any way be affected or impaired thereby.</w:t>
      </w:r>
    </w:p>
    <w:p>
      <w:pPr>
        <w:spacing w:after="0" w:line="116"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b w:val="1"/>
          <w:bCs w:val="1"/>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other than the parties hereto, any Security Registrar, any Paying Agent, any Authenticating Agent and their successors hereunder and the Holders any benefit or any legal or equitable right, remedy or claim under this Indenture.</w:t>
      </w:r>
    </w:p>
    <w:p>
      <w:pPr>
        <w:spacing w:after="0" w:line="176"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New York. This Indenture is subject to the provisions of the TIA that are required to be part of this Indenture and shall, to the extent applicable, be governed by such provisions.</w:t>
      </w:r>
    </w:p>
    <w:p>
      <w:pPr>
        <w:spacing w:after="0" w:line="17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SECTION 112. </w:t>
      </w:r>
      <w:r>
        <w:rPr>
          <w:rFonts w:ascii="Arial" w:cs="Arial" w:eastAsia="Arial" w:hAnsi="Arial"/>
          <w:sz w:val="16"/>
          <w:szCs w:val="16"/>
          <w:b w:val="1"/>
          <w:bCs w:val="1"/>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w:t>
      </w:r>
      <w:r>
        <w:rPr>
          <w:rFonts w:ascii="Arial" w:cs="Arial" w:eastAsia="Arial" w:hAnsi="Arial"/>
          <w:sz w:val="16"/>
          <w:szCs w:val="16"/>
          <w:b w:val="1"/>
          <w:bCs w:val="1"/>
          <w:color w:val="auto"/>
        </w:rPr>
        <w:t xml:space="preserve"> </w:t>
      </w:r>
      <w:r>
        <w:rPr>
          <w:rFonts w:ascii="Arial" w:cs="Arial" w:eastAsia="Arial" w:hAnsi="Arial"/>
          <w:sz w:val="16"/>
          <w:szCs w:val="16"/>
          <w:color w:val="auto"/>
        </w:rPr>
        <w:t>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3" w:name="page54"/>
    <w:bookmarkEnd w:id="53"/>
    <w:p>
      <w:pPr>
        <w:ind w:firstLine="648"/>
        <w:spacing w:after="0" w:line="288" w:lineRule="auto"/>
        <w:rPr>
          <w:sz w:val="20"/>
          <w:szCs w:val="20"/>
          <w:color w:val="auto"/>
        </w:rPr>
      </w:pPr>
      <w:r>
        <w:rPr>
          <w:rFonts w:ascii="Arial" w:cs="Arial" w:eastAsia="Arial" w:hAnsi="Arial"/>
          <w:sz w:val="16"/>
          <w:szCs w:val="16"/>
          <w:b w:val="1"/>
          <w:bCs w:val="1"/>
          <w:color w:val="auto"/>
        </w:rPr>
        <w:t xml:space="preserve">SECTION 113. </w:t>
      </w:r>
      <w:r>
        <w:rPr>
          <w:rFonts w:ascii="Arial" w:cs="Arial" w:eastAsia="Arial" w:hAnsi="Arial"/>
          <w:sz w:val="16"/>
          <w:szCs w:val="16"/>
          <w:b w:val="1"/>
          <w:bCs w:val="1"/>
          <w:u w:val="single" w:color="auto"/>
          <w:color w:val="auto"/>
        </w:rPr>
        <w:t>Limited Liability; Immunity of Stockholders, Directors, Officers and Agents of the Company</w:t>
      </w:r>
      <w:r>
        <w:rPr>
          <w:rFonts w:ascii="Arial" w:cs="Arial" w:eastAsia="Arial" w:hAnsi="Arial"/>
          <w:sz w:val="16"/>
          <w:szCs w:val="16"/>
          <w:color w:val="auto"/>
        </w:rPr>
        <w:t>. Notwithstanding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6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FORMS</w:t>
      </w:r>
    </w:p>
    <w:p>
      <w:pPr>
        <w:spacing w:after="0" w:line="207"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SECTION 201. </w:t>
      </w:r>
      <w:r>
        <w:rPr>
          <w:rFonts w:ascii="Arial" w:cs="Arial" w:eastAsia="Arial" w:hAnsi="Arial"/>
          <w:sz w:val="16"/>
          <w:szCs w:val="16"/>
          <w:b w:val="1"/>
          <w:bCs w:val="1"/>
          <w:u w:val="single" w:color="auto"/>
          <w:color w:val="auto"/>
        </w:rPr>
        <w:t>Forms of Securities</w:t>
      </w:r>
      <w:r>
        <w:rPr>
          <w:rFonts w:ascii="Arial" w:cs="Arial" w:eastAsia="Arial" w:hAnsi="Arial"/>
          <w:sz w:val="16"/>
          <w:szCs w:val="16"/>
          <w:color w:val="auto"/>
        </w:rPr>
        <w:t>. The Registered Securities, if any, of each series and the Bearer Securities, if any, of each series and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coupons shall be substantially in the form of Exhibit A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61"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following form:</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NAME OF TRUSTEE</w:t>
      </w:r>
      <w:r>
        <w:rPr>
          <w:rFonts w:ascii="Arial" w:cs="Arial" w:eastAsia="Arial" w:hAnsi="Arial"/>
          <w:sz w:val="18"/>
          <w:szCs w:val="18"/>
          <w:color w:val="auto"/>
        </w:rPr>
        <w:t>], as Trustee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_________________________________</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color w:val="auto"/>
        </w:rPr>
        <w:t xml:space="preserve">SECTION 203. </w:t>
      </w:r>
      <w:r>
        <w:rPr>
          <w:rFonts w:ascii="Arial" w:cs="Arial" w:eastAsia="Arial" w:hAnsi="Arial"/>
          <w:sz w:val="16"/>
          <w:szCs w:val="16"/>
          <w:b w:val="1"/>
          <w:bCs w:val="1"/>
          <w:u w:val="single" w:color="auto"/>
          <w:color w:val="auto"/>
        </w:rPr>
        <w:t>Securities Issuable in Global Form</w:t>
      </w:r>
      <w:r>
        <w:rPr>
          <w:rFonts w:ascii="Arial" w:cs="Arial" w:eastAsia="Arial" w:hAnsi="Arial"/>
          <w:sz w:val="16"/>
          <w:szCs w:val="16"/>
          <w:color w:val="auto"/>
        </w:rPr>
        <w:t>. If Securities of or within a series are issuable in the form of one or more Global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then, notwithstanding clause (9)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7"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207"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Indenture is unlimited.</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49" w:lineRule="exact"/>
        <w:rPr>
          <w:sz w:val="20"/>
          <w:szCs w:val="20"/>
          <w:color w:val="auto"/>
        </w:rPr>
      </w:pPr>
    </w:p>
    <w:p>
      <w:pPr>
        <w:ind w:right="340" w:firstLine="1304"/>
        <w:spacing w:after="0" w:line="277" w:lineRule="auto"/>
        <w:tabs>
          <w:tab w:leader="none" w:pos="15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170" w:lineRule="exact"/>
        <w:rPr>
          <w:rFonts w:ascii="Arial" w:cs="Arial" w:eastAsia="Arial" w:hAnsi="Arial"/>
          <w:sz w:val="18"/>
          <w:szCs w:val="18"/>
          <w:color w:val="auto"/>
        </w:rPr>
      </w:pPr>
    </w:p>
    <w:p>
      <w:pPr>
        <w:ind w:right="180" w:firstLine="1304"/>
        <w:spacing w:after="0" w:line="259" w:lineRule="auto"/>
        <w:tabs>
          <w:tab w:leader="none" w:pos="15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1305 or 1602) and the minimum authorized denominations with respect to the Securities of such series;</w:t>
      </w:r>
    </w:p>
    <w:p>
      <w:pPr>
        <w:spacing w:after="0" w:line="186" w:lineRule="exact"/>
        <w:rPr>
          <w:rFonts w:ascii="Arial" w:cs="Arial" w:eastAsia="Arial" w:hAnsi="Arial"/>
          <w:sz w:val="18"/>
          <w:szCs w:val="18"/>
          <w:color w:val="auto"/>
        </w:rPr>
      </w:pPr>
    </w:p>
    <w:p>
      <w:pPr>
        <w:ind w:right="100" w:firstLine="1304"/>
        <w:spacing w:after="0" w:line="311" w:lineRule="auto"/>
        <w:tabs>
          <w:tab w:leader="none" w:pos="155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148" w:lineRule="exact"/>
        <w:rPr>
          <w:rFonts w:ascii="Arial" w:cs="Arial" w:eastAsia="Arial" w:hAnsi="Arial"/>
          <w:sz w:val="16"/>
          <w:szCs w:val="16"/>
          <w:color w:val="auto"/>
        </w:rPr>
      </w:pPr>
    </w:p>
    <w:p>
      <w:pPr>
        <w:ind w:right="300" w:firstLine="1304"/>
        <w:spacing w:after="0" w:line="342" w:lineRule="auto"/>
        <w:tabs>
          <w:tab w:leader="none" w:pos="1551"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or dates, or the method for determining such date or dates, on which the principal of such Securities will be payable;</w:t>
      </w:r>
    </w:p>
    <w:p>
      <w:pPr>
        <w:spacing w:after="0" w:line="236" w:lineRule="exact"/>
        <w:rPr>
          <w:rFonts w:ascii="Arial" w:cs="Arial" w:eastAsia="Arial" w:hAnsi="Arial"/>
          <w:sz w:val="17"/>
          <w:szCs w:val="17"/>
          <w:color w:val="auto"/>
        </w:rPr>
      </w:pPr>
    </w:p>
    <w:p>
      <w:pPr>
        <w:ind w:right="460" w:firstLine="1304"/>
        <w:spacing w:after="0" w:line="277" w:lineRule="auto"/>
        <w:tabs>
          <w:tab w:leader="none" w:pos="15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170" w:lineRule="exact"/>
        <w:rPr>
          <w:rFonts w:ascii="Arial" w:cs="Arial" w:eastAsia="Arial" w:hAnsi="Arial"/>
          <w:sz w:val="18"/>
          <w:szCs w:val="18"/>
          <w:color w:val="auto"/>
        </w:rPr>
      </w:pPr>
    </w:p>
    <w:p>
      <w:pPr>
        <w:jc w:val="both"/>
        <w:ind w:right="40" w:firstLine="1304"/>
        <w:spacing w:after="0" w:line="259" w:lineRule="auto"/>
        <w:tabs>
          <w:tab w:leader="none" w:pos="15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6" w:lineRule="exact"/>
        <w:rPr>
          <w:rFonts w:ascii="Arial" w:cs="Arial" w:eastAsia="Arial" w:hAnsi="Arial"/>
          <w:sz w:val="18"/>
          <w:szCs w:val="18"/>
          <w:color w:val="auto"/>
        </w:rPr>
      </w:pPr>
    </w:p>
    <w:p>
      <w:pPr>
        <w:ind w:right="740" w:firstLine="1304"/>
        <w:spacing w:after="0" w:line="277" w:lineRule="auto"/>
        <w:tabs>
          <w:tab w:leader="none" w:pos="15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6" w:name="page57"/>
    <w:bookmarkEnd w:id="56"/>
    <w:p>
      <w:pPr>
        <w:ind w:right="80" w:firstLine="1304"/>
        <w:spacing w:after="0" w:line="263" w:lineRule="auto"/>
        <w:tabs>
          <w:tab w:leader="none" w:pos="15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83" w:lineRule="exact"/>
        <w:rPr>
          <w:rFonts w:ascii="Arial" w:cs="Arial" w:eastAsia="Arial" w:hAnsi="Arial"/>
          <w:sz w:val="18"/>
          <w:szCs w:val="18"/>
          <w:color w:val="auto"/>
        </w:rPr>
      </w:pPr>
    </w:p>
    <w:p>
      <w:pPr>
        <w:ind w:right="640" w:firstLine="1304"/>
        <w:spacing w:after="0" w:line="342" w:lineRule="auto"/>
        <w:tabs>
          <w:tab w:leader="none" w:pos="16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23" w:lineRule="exact"/>
        <w:rPr>
          <w:rFonts w:ascii="Arial" w:cs="Arial" w:eastAsia="Arial" w:hAnsi="Arial"/>
          <w:sz w:val="16"/>
          <w:szCs w:val="16"/>
          <w:color w:val="auto"/>
        </w:rPr>
      </w:pPr>
    </w:p>
    <w:p>
      <w:pPr>
        <w:ind w:right="100" w:firstLine="1304"/>
        <w:spacing w:after="0" w:line="263" w:lineRule="auto"/>
        <w:tabs>
          <w:tab w:leader="none" w:pos="1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83" w:lineRule="exact"/>
        <w:rPr>
          <w:rFonts w:ascii="Arial" w:cs="Arial" w:eastAsia="Arial" w:hAnsi="Arial"/>
          <w:sz w:val="18"/>
          <w:szCs w:val="18"/>
          <w:color w:val="auto"/>
        </w:rPr>
      </w:pPr>
    </w:p>
    <w:p>
      <w:pPr>
        <w:ind w:right="120" w:firstLine="1304"/>
        <w:spacing w:after="0" w:line="263" w:lineRule="auto"/>
        <w:tabs>
          <w:tab w:leader="none" w:pos="16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83" w:lineRule="exact"/>
        <w:rPr>
          <w:rFonts w:ascii="Arial" w:cs="Arial" w:eastAsia="Arial" w:hAnsi="Arial"/>
          <w:sz w:val="18"/>
          <w:szCs w:val="18"/>
          <w:color w:val="auto"/>
        </w:rPr>
      </w:pPr>
    </w:p>
    <w:p>
      <w:pPr>
        <w:ind w:right="60" w:firstLine="1304"/>
        <w:spacing w:after="0" w:line="279" w:lineRule="auto"/>
        <w:tabs>
          <w:tab w:leader="none" w:pos="1641"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71" w:lineRule="exact"/>
        <w:rPr>
          <w:rFonts w:ascii="Arial" w:cs="Arial" w:eastAsia="Arial" w:hAnsi="Arial"/>
          <w:sz w:val="17"/>
          <w:szCs w:val="17"/>
          <w:color w:val="auto"/>
        </w:rPr>
      </w:pPr>
    </w:p>
    <w:p>
      <w:pPr>
        <w:ind w:right="20" w:firstLine="1304"/>
        <w:spacing w:after="0" w:line="293" w:lineRule="auto"/>
        <w:tabs>
          <w:tab w:leader="none" w:pos="16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64" w:lineRule="exact"/>
        <w:rPr>
          <w:rFonts w:ascii="Arial" w:cs="Arial" w:eastAsia="Arial" w:hAnsi="Arial"/>
          <w:sz w:val="16"/>
          <w:szCs w:val="16"/>
          <w:color w:val="auto"/>
        </w:rPr>
      </w:pPr>
    </w:p>
    <w:p>
      <w:pPr>
        <w:ind w:left="1640" w:hanging="336"/>
        <w:spacing w:after="0"/>
        <w:tabs>
          <w:tab w:leader="none" w:pos="1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w:t>
      </w:r>
    </w:p>
    <w:p>
      <w:pPr>
        <w:spacing w:after="0" w:line="210" w:lineRule="exact"/>
        <w:rPr>
          <w:rFonts w:ascii="Arial" w:cs="Arial" w:eastAsia="Arial" w:hAnsi="Arial"/>
          <w:sz w:val="16"/>
          <w:szCs w:val="16"/>
          <w:color w:val="auto"/>
        </w:rPr>
      </w:pPr>
    </w:p>
    <w:p>
      <w:pPr>
        <w:ind w:firstLine="1304"/>
        <w:spacing w:after="0" w:line="308" w:lineRule="auto"/>
        <w:tabs>
          <w:tab w:leader="none" w:pos="1641"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46" w:lineRule="exact"/>
        <w:rPr>
          <w:rFonts w:ascii="Arial" w:cs="Arial" w:eastAsia="Arial" w:hAnsi="Arial"/>
          <w:sz w:val="17"/>
          <w:szCs w:val="17"/>
          <w:color w:val="auto"/>
        </w:rPr>
      </w:pPr>
    </w:p>
    <w:p>
      <w:pPr>
        <w:ind w:right="440" w:firstLine="1304"/>
        <w:spacing w:after="0" w:line="342" w:lineRule="auto"/>
        <w:tabs>
          <w:tab w:leader="none" w:pos="16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23" w:lineRule="exact"/>
        <w:rPr>
          <w:rFonts w:ascii="Arial" w:cs="Arial" w:eastAsia="Arial" w:hAnsi="Arial"/>
          <w:sz w:val="16"/>
          <w:szCs w:val="16"/>
          <w:color w:val="auto"/>
        </w:rPr>
      </w:pPr>
    </w:p>
    <w:p>
      <w:pPr>
        <w:ind w:right="20" w:firstLine="1304"/>
        <w:spacing w:after="0" w:line="271" w:lineRule="auto"/>
        <w:tabs>
          <w:tab w:leader="none" w:pos="1641"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7" w:name="page58"/>
    <w:bookmarkEnd w:id="57"/>
    <w:p>
      <w:pPr>
        <w:ind w:right="120" w:firstLine="1304"/>
        <w:spacing w:after="0" w:line="277" w:lineRule="auto"/>
        <w:tabs>
          <w:tab w:leader="none" w:pos="16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0" w:lineRule="exact"/>
        <w:rPr>
          <w:rFonts w:ascii="Arial" w:cs="Arial" w:eastAsia="Arial" w:hAnsi="Arial"/>
          <w:sz w:val="18"/>
          <w:szCs w:val="18"/>
          <w:color w:val="auto"/>
        </w:rPr>
      </w:pPr>
    </w:p>
    <w:p>
      <w:pPr>
        <w:ind w:right="80" w:firstLine="1304"/>
        <w:spacing w:after="0" w:line="254" w:lineRule="auto"/>
        <w:tabs>
          <w:tab w:leader="none" w:pos="16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provided, however, in each case, that the manner of determining such Person or making such payment shall be acceptable to the Trustee (as not imposing on it any undue administrative burden or risk of liability);</w:t>
      </w:r>
    </w:p>
    <w:p>
      <w:pPr>
        <w:spacing w:after="0" w:line="194" w:lineRule="exact"/>
        <w:rPr>
          <w:rFonts w:ascii="Arial" w:cs="Arial" w:eastAsia="Arial" w:hAnsi="Arial"/>
          <w:sz w:val="18"/>
          <w:szCs w:val="18"/>
          <w:color w:val="auto"/>
        </w:rPr>
      </w:pPr>
    </w:p>
    <w:p>
      <w:pPr>
        <w:ind w:left="1640" w:hanging="336"/>
        <w:spacing w:after="0"/>
        <w:tabs>
          <w:tab w:leader="none" w:pos="1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of Article Fourteen hereof to the Securities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210" w:lineRule="exact"/>
        <w:rPr>
          <w:rFonts w:ascii="Arial" w:cs="Arial" w:eastAsia="Arial" w:hAnsi="Arial"/>
          <w:sz w:val="16"/>
          <w:szCs w:val="16"/>
          <w:color w:val="auto"/>
        </w:rPr>
      </w:pPr>
    </w:p>
    <w:p>
      <w:pPr>
        <w:ind w:firstLine="1304"/>
        <w:spacing w:after="0" w:line="259" w:lineRule="auto"/>
        <w:tabs>
          <w:tab w:leader="none" w:pos="16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86" w:lineRule="exact"/>
        <w:rPr>
          <w:rFonts w:ascii="Arial" w:cs="Arial" w:eastAsia="Arial" w:hAnsi="Arial"/>
          <w:sz w:val="18"/>
          <w:szCs w:val="18"/>
          <w:color w:val="auto"/>
        </w:rPr>
      </w:pPr>
    </w:p>
    <w:p>
      <w:pPr>
        <w:ind w:right="60" w:firstLine="1304"/>
        <w:spacing w:after="0" w:line="263" w:lineRule="auto"/>
        <w:tabs>
          <w:tab w:leader="none" w:pos="16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83" w:lineRule="exact"/>
        <w:rPr>
          <w:rFonts w:ascii="Arial" w:cs="Arial" w:eastAsia="Arial" w:hAnsi="Arial"/>
          <w:sz w:val="18"/>
          <w:szCs w:val="18"/>
          <w:color w:val="auto"/>
        </w:rPr>
      </w:pPr>
    </w:p>
    <w:p>
      <w:pPr>
        <w:ind w:right="20" w:firstLine="1304"/>
        <w:spacing w:after="0" w:line="342" w:lineRule="auto"/>
        <w:tabs>
          <w:tab w:leader="none" w:pos="1641"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23" w:lineRule="exact"/>
        <w:rPr>
          <w:rFonts w:ascii="Arial" w:cs="Arial" w:eastAsia="Arial" w:hAnsi="Arial"/>
          <w:sz w:val="16"/>
          <w:szCs w:val="16"/>
          <w:color w:val="auto"/>
        </w:rPr>
      </w:pPr>
    </w:p>
    <w:p>
      <w:pPr>
        <w:ind w:left="1640" w:hanging="336"/>
        <w:spacing w:after="0"/>
        <w:tabs>
          <w:tab w:leader="none" w:pos="1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58" w:name="page59"/>
    <w:bookmarkEnd w:id="58"/>
    <w:p>
      <w:pPr>
        <w:ind w:firstLine="648"/>
        <w:spacing w:after="0" w:line="301" w:lineRule="auto"/>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0"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SECTION 302. </w:t>
      </w:r>
      <w:r>
        <w:rPr>
          <w:rFonts w:ascii="Arial" w:cs="Arial" w:eastAsia="Arial" w:hAnsi="Arial"/>
          <w:sz w:val="16"/>
          <w:szCs w:val="16"/>
          <w:b w:val="1"/>
          <w:bCs w:val="1"/>
          <w:u w:val="single" w:color="auto"/>
          <w:color w:val="auto"/>
        </w:rPr>
        <w:t>Denominations</w:t>
      </w:r>
      <w:r>
        <w:rPr>
          <w:rFonts w:ascii="Arial" w:cs="Arial" w:eastAsia="Arial" w:hAnsi="Arial"/>
          <w:sz w:val="16"/>
          <w:szCs w:val="16"/>
          <w:color w:val="auto"/>
        </w:rPr>
        <w:t>. The Securities of each series shall be issuable in such denominations as shall be specified as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51"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 xml:space="preserve">SECTION 303. </w:t>
      </w:r>
      <w:r>
        <w:rPr>
          <w:rFonts w:ascii="Arial" w:cs="Arial" w:eastAsia="Arial" w:hAnsi="Arial"/>
          <w:sz w:val="16"/>
          <w:szCs w:val="16"/>
          <w:b w:val="1"/>
          <w:bCs w:val="1"/>
          <w:u w:val="single" w:color="auto"/>
          <w:color w:val="auto"/>
        </w:rPr>
        <w:t>Execution, Authentication, Delivery and Dating</w:t>
      </w:r>
      <w:r>
        <w:rPr>
          <w:rFonts w:ascii="Arial" w:cs="Arial" w:eastAsia="Arial" w:hAnsi="Arial"/>
          <w:sz w:val="16"/>
          <w:szCs w:val="16"/>
          <w:color w:val="auto"/>
        </w:rPr>
        <w:t>. The Securities and any coupons appertaining thereto shall be executed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5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provided, however, that, in connection with its original issuance, no Bearer Security shall be mailed or otherwise delivered to any location in the United States; and provided further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Exhibit B-1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71"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 (i) an Opinion of Counsel stating that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9" w:name="page60"/>
    <w:bookmarkEnd w:id="59"/>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form or forms of such Securities and any coupons have been established in conformity with the provisions of this Indenture;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of such Securities and any coupons have been established in conformity with the provisions of this Indenture; and</w:t>
      </w:r>
    </w:p>
    <w:p>
      <w:pPr>
        <w:spacing w:after="0" w:line="225" w:lineRule="exact"/>
        <w:rPr>
          <w:rFonts w:ascii="Arial" w:cs="Arial" w:eastAsia="Arial" w:hAnsi="Arial"/>
          <w:sz w:val="18"/>
          <w:szCs w:val="18"/>
          <w:color w:val="auto"/>
        </w:rPr>
      </w:pPr>
    </w:p>
    <w:p>
      <w:pPr>
        <w:ind w:right="100" w:firstLine="656"/>
        <w:spacing w:after="0" w:line="255" w:lineRule="auto"/>
        <w:tabs>
          <w:tab w:leader="none" w:pos="8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92" w:lineRule="exact"/>
        <w:rPr>
          <w:sz w:val="20"/>
          <w:szCs w:val="20"/>
          <w:color w:val="auto"/>
        </w:rPr>
      </w:pPr>
    </w:p>
    <w:p>
      <w:pPr>
        <w:jc w:val="both"/>
        <w:ind w:right="200" w:firstLine="656"/>
        <w:spacing w:after="0" w:line="263" w:lineRule="auto"/>
        <w:tabs>
          <w:tab w:leader="none" w:pos="9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u w:val="single" w:color="auto"/>
          <w:color w:val="auto"/>
        </w:rPr>
        <w:t>Temporary Securities</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255" w:lineRule="auto"/>
        <w:tabs>
          <w:tab w:leader="none" w:pos="8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9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provided, however, that no definitive Bearer Security shall be delivered in exchange for a temporary Registered Security; and provided further that a definitive Bearer Security shall be delivered in exchange for a temporary Bearer Security only in compliance with the conditions set forth in Section 305. Until so exchanged, the temporary Securities of any series shall in all respects be entitled to the same benefits under this Indenture as definitive Securities of such series.</w:t>
      </w:r>
    </w:p>
    <w:p>
      <w:pPr>
        <w:spacing w:after="0" w:line="172" w:lineRule="exact"/>
        <w:rPr>
          <w:sz w:val="20"/>
          <w:szCs w:val="20"/>
          <w:color w:val="auto"/>
        </w:rPr>
      </w:pPr>
    </w:p>
    <w:p>
      <w:pPr>
        <w:ind w:right="20" w:firstLine="656"/>
        <w:spacing w:after="0" w:line="275" w:lineRule="auto"/>
        <w:tabs>
          <w:tab w:leader="none" w:pos="903"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7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provided, however,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B-2 to this Indenture or in such other form as may be established pursuant to Section 301; and provided further that definitive Bearer Securities shall be delivered in exchange for a portion of a temporary Global Security only in compliance with the requirements of Section 303.</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right="80" w:firstLine="648"/>
        <w:spacing w:after="0" w:line="269" w:lineRule="auto"/>
        <w:rPr>
          <w:sz w:val="20"/>
          <w:szCs w:val="20"/>
          <w:color w:val="auto"/>
        </w:rPr>
      </w:pPr>
      <w:r>
        <w:rPr>
          <w:rFonts w:ascii="Arial" w:cs="Arial" w:eastAsia="Arial" w:hAnsi="Arial"/>
          <w:sz w:val="17"/>
          <w:szCs w:val="17"/>
          <w:color w:val="auto"/>
        </w:rPr>
        <w:t>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B-1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8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Exhibit B-2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Exhibit B-1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right="140" w:firstLine="648"/>
        <w:spacing w:after="0" w:line="301" w:lineRule="auto"/>
        <w:rPr>
          <w:sz w:val="20"/>
          <w:szCs w:val="20"/>
          <w:color w:val="auto"/>
        </w:rPr>
      </w:pPr>
      <w:r>
        <w:rPr>
          <w:rFonts w:ascii="Arial" w:cs="Arial" w:eastAsia="Arial" w:hAnsi="Arial"/>
          <w:sz w:val="16"/>
          <w:szCs w:val="16"/>
          <w:color w:val="auto"/>
        </w:rPr>
        <w:t>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provided that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5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305. </w:t>
      </w:r>
      <w:r>
        <w:rPr>
          <w:rFonts w:ascii="Arial" w:cs="Arial" w:eastAsia="Arial" w:hAnsi="Arial"/>
          <w:sz w:val="16"/>
          <w:szCs w:val="16"/>
          <w:b w:val="1"/>
          <w:bCs w:val="1"/>
          <w:u w:val="single" w:color="auto"/>
          <w:color w:val="auto"/>
        </w:rPr>
        <w:t>Registration, Registration of Transfer, Conversion and Exchange</w:t>
      </w:r>
      <w:r>
        <w:rPr>
          <w:rFonts w:ascii="Arial" w:cs="Arial" w:eastAsia="Arial" w:hAnsi="Arial"/>
          <w:sz w:val="16"/>
          <w:szCs w:val="16"/>
          <w:color w:val="auto"/>
        </w:rPr>
        <w:t>. The Company shall cause to be kept at the Corporate Trust</w:t>
      </w:r>
      <w:r>
        <w:rPr>
          <w:rFonts w:ascii="Arial" w:cs="Arial" w:eastAsia="Arial" w:hAnsi="Arial"/>
          <w:sz w:val="16"/>
          <w:szCs w:val="16"/>
          <w:b w:val="1"/>
          <w:bCs w:val="1"/>
          <w:color w:val="auto"/>
        </w:rPr>
        <w:t xml:space="preserve"> </w:t>
      </w:r>
      <w:r>
        <w:rPr>
          <w:rFonts w:ascii="Arial" w:cs="Arial" w:eastAsia="Arial" w:hAnsi="Arial"/>
          <w:sz w:val="16"/>
          <w:szCs w:val="16"/>
          <w:color w:val="auto"/>
        </w:rPr>
        <w:t>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63"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5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3" w:name="page64"/>
    <w:bookmarkEnd w:id="63"/>
    <w:p>
      <w:pPr>
        <w:ind w:firstLine="648"/>
        <w:spacing w:after="0" w:line="284" w:lineRule="auto"/>
        <w:rPr>
          <w:sz w:val="20"/>
          <w:szCs w:val="20"/>
          <w:color w:val="auto"/>
        </w:rPr>
      </w:pPr>
      <w:r>
        <w:rPr>
          <w:rFonts w:ascii="Arial" w:cs="Arial" w:eastAsia="Arial" w:hAnsi="Arial"/>
          <w:sz w:val="16"/>
          <w:szCs w:val="16"/>
          <w:color w:val="auto"/>
        </w:rPr>
        <w:t>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8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provided, however,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provided further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right="460" w:firstLine="648"/>
        <w:spacing w:after="0" w:line="263" w:lineRule="auto"/>
        <w:rPr>
          <w:sz w:val="20"/>
          <w:szCs w:val="20"/>
          <w:color w:val="auto"/>
        </w:rPr>
      </w:pPr>
      <w:r>
        <w:rPr>
          <w:rFonts w:ascii="Arial" w:cs="Arial" w:eastAsia="Arial" w:hAnsi="Arial"/>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8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4"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1305 or 1604 not involving any transfer.</w:t>
      </w:r>
    </w:p>
    <w:p>
      <w:pPr>
        <w:spacing w:after="0" w:line="14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w:t>
      </w:r>
    </w:p>
    <w:p>
      <w:pPr>
        <w:spacing w:after="0" w:line="2" w:lineRule="exact"/>
        <w:rPr>
          <w:sz w:val="20"/>
          <w:szCs w:val="20"/>
          <w:color w:val="auto"/>
        </w:rPr>
      </w:pPr>
    </w:p>
    <w:p>
      <w:pPr>
        <w:ind w:firstLine="8"/>
        <w:spacing w:after="0" w:line="253"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provided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9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 xml:space="preserve">SECTION 306. </w:t>
      </w:r>
      <w:r>
        <w:rPr>
          <w:rFonts w:ascii="Arial" w:cs="Arial" w:eastAsia="Arial" w:hAnsi="Arial"/>
          <w:sz w:val="17"/>
          <w:szCs w:val="17"/>
          <w:b w:val="1"/>
          <w:bCs w:val="1"/>
          <w:u w:val="single" w:color="auto"/>
          <w:color w:val="auto"/>
        </w:rPr>
        <w:t>Mutilated, Destroyed, Lost and Stolen Securities</w:t>
      </w:r>
      <w:r>
        <w:rPr>
          <w:rFonts w:ascii="Arial" w:cs="Arial" w:eastAsia="Arial" w:hAnsi="Arial"/>
          <w:sz w:val="17"/>
          <w:szCs w:val="17"/>
          <w:color w:val="auto"/>
        </w:rPr>
        <w:t>. If any mutilated Security or a Security with a mutilated coupon appertaining</w:t>
      </w:r>
      <w:r>
        <w:rPr>
          <w:rFonts w:ascii="Arial" w:cs="Arial" w:eastAsia="Arial" w:hAnsi="Arial"/>
          <w:sz w:val="17"/>
          <w:szCs w:val="17"/>
          <w:b w:val="1"/>
          <w:bCs w:val="1"/>
          <w:color w:val="auto"/>
        </w:rPr>
        <w:t xml:space="preserve"> </w:t>
      </w:r>
      <w:r>
        <w:rPr>
          <w:rFonts w:ascii="Arial" w:cs="Arial" w:eastAsia="Arial" w:hAnsi="Arial"/>
          <w:sz w:val="17"/>
          <w:szCs w:val="17"/>
          <w:color w:val="auto"/>
        </w:rPr>
        <w:t>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5" w:name="page66"/>
    <w:bookmarkEnd w:id="65"/>
    <w:p>
      <w:pPr>
        <w:ind w:right="40" w:firstLine="648"/>
        <w:spacing w:after="0" w:line="291" w:lineRule="auto"/>
        <w:rPr>
          <w:sz w:val="20"/>
          <w:szCs w:val="20"/>
          <w:color w:val="auto"/>
        </w:rPr>
      </w:pPr>
      <w:r>
        <w:rPr>
          <w:rFonts w:ascii="Arial" w:cs="Arial" w:eastAsia="Arial" w:hAnsi="Arial"/>
          <w:sz w:val="16"/>
          <w:szCs w:val="16"/>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provided, however,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66"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right="80" w:firstLine="648"/>
        <w:spacing w:after="0" w:line="273" w:lineRule="auto"/>
        <w:rPr>
          <w:sz w:val="20"/>
          <w:szCs w:val="20"/>
          <w:color w:val="auto"/>
        </w:rPr>
      </w:pPr>
      <w:r>
        <w:rPr>
          <w:rFonts w:ascii="Arial" w:cs="Arial" w:eastAsia="Arial" w:hAnsi="Arial"/>
          <w:sz w:val="17"/>
          <w:szCs w:val="17"/>
          <w:b w:val="1"/>
          <w:bCs w:val="1"/>
          <w:color w:val="auto"/>
        </w:rPr>
        <w:t xml:space="preserve">SECTION 307. </w:t>
      </w:r>
      <w:r>
        <w:rPr>
          <w:rFonts w:ascii="Arial" w:cs="Arial" w:eastAsia="Arial" w:hAnsi="Arial"/>
          <w:sz w:val="17"/>
          <w:szCs w:val="17"/>
          <w:b w:val="1"/>
          <w:bCs w:val="1"/>
          <w:u w:val="single" w:color="auto"/>
          <w:color w:val="auto"/>
        </w:rPr>
        <w:t>Payment of Interest; Interest Rights Preserved</w:t>
      </w:r>
      <w:r>
        <w:rPr>
          <w:rFonts w:ascii="Arial" w:cs="Arial" w:eastAsia="Arial" w:hAnsi="Arial"/>
          <w:sz w:val="17"/>
          <w:szCs w:val="17"/>
          <w:color w:val="auto"/>
        </w:rPr>
        <w:t>. Except as otherwise specified with respect to a series of Securities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provided, however,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76"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4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7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7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71" w:lineRule="exact"/>
        <w:rPr>
          <w:sz w:val="20"/>
          <w:szCs w:val="20"/>
          <w:color w:val="auto"/>
        </w:rPr>
      </w:pPr>
    </w:p>
    <w:p>
      <w:pPr>
        <w:ind w:firstLine="1304"/>
        <w:spacing w:after="0" w:line="284" w:lineRule="auto"/>
        <w:tabs>
          <w:tab w:leader="none" w:pos="155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7" w:name="page68"/>
    <w:bookmarkEnd w:id="67"/>
    <w:p>
      <w:pPr>
        <w:jc w:val="both"/>
        <w:ind w:right="60" w:firstLine="1304"/>
        <w:spacing w:after="0" w:line="259" w:lineRule="auto"/>
        <w:tabs>
          <w:tab w:leader="none" w:pos="15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b w:val="1"/>
          <w:bCs w:val="1"/>
          <w:u w:val="single" w:color="auto"/>
          <w:color w:val="auto"/>
        </w:rPr>
        <w:t>Persons Deemed Owners</w:t>
      </w:r>
      <w:r>
        <w:rPr>
          <w:rFonts w:ascii="Arial" w:cs="Arial" w:eastAsia="Arial" w:hAnsi="Arial"/>
          <w:sz w:val="18"/>
          <w:szCs w:val="18"/>
          <w:color w:val="auto"/>
        </w:rPr>
        <w:t>. Prior to due presentment of a Registered Security for registration of transfer,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7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8" w:name="page69"/>
    <w:bookmarkEnd w:id="68"/>
    <w:p>
      <w:pPr>
        <w:ind w:right="120" w:firstLine="648"/>
        <w:spacing w:after="0" w:line="279" w:lineRule="auto"/>
        <w:rPr>
          <w:sz w:val="20"/>
          <w:szCs w:val="20"/>
          <w:color w:val="auto"/>
        </w:rPr>
      </w:pPr>
      <w:r>
        <w:rPr>
          <w:rFonts w:ascii="Arial" w:cs="Arial" w:eastAsia="Arial" w:hAnsi="Arial"/>
          <w:sz w:val="17"/>
          <w:szCs w:val="17"/>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309. </w:t>
      </w:r>
      <w:r>
        <w:rPr>
          <w:rFonts w:ascii="Arial" w:cs="Arial" w:eastAsia="Arial" w:hAnsi="Arial"/>
          <w:sz w:val="17"/>
          <w:szCs w:val="17"/>
          <w:b w:val="1"/>
          <w:bCs w:val="1"/>
          <w:u w:val="single" w:color="auto"/>
          <w:color w:val="auto"/>
        </w:rPr>
        <w:t>Cancellation</w:t>
      </w:r>
      <w:r>
        <w:rPr>
          <w:rFonts w:ascii="Arial" w:cs="Arial" w:eastAsia="Arial" w:hAnsi="Arial"/>
          <w:sz w:val="17"/>
          <w:szCs w:val="17"/>
          <w:color w:val="auto"/>
        </w:rPr>
        <w:t>. All Securities and coupons surrendered for payment, redemption, repayment at the option of the Holder,</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8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7"/>
          <w:szCs w:val="17"/>
          <w:b w:val="1"/>
          <w:bCs w:val="1"/>
          <w:color w:val="auto"/>
        </w:rPr>
        <w:t xml:space="preserve">SECTION 310. </w:t>
      </w:r>
      <w:r>
        <w:rPr>
          <w:rFonts w:ascii="Arial" w:cs="Arial" w:eastAsia="Arial" w:hAnsi="Arial"/>
          <w:sz w:val="17"/>
          <w:szCs w:val="17"/>
          <w:b w:val="1"/>
          <w:bCs w:val="1"/>
          <w:u w:val="single" w:color="auto"/>
          <w:color w:val="auto"/>
        </w:rPr>
        <w:t>Computation of Interest</w:t>
      </w:r>
      <w:r>
        <w:rPr>
          <w:rFonts w:ascii="Arial" w:cs="Arial" w:eastAsia="Arial" w:hAnsi="Arial"/>
          <w:sz w:val="17"/>
          <w:szCs w:val="17"/>
          <w:color w:val="auto"/>
        </w:rPr>
        <w:t>. Except as otherwise specified as contemplated by Section 301 with respect to Securities of any series,</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on the Securities of each series shall be computed on the basis of a 360-day year consisting of twelve 30-day months.</w:t>
      </w:r>
    </w:p>
    <w:p>
      <w:pPr>
        <w:spacing w:after="0" w:line="140"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b w:val="1"/>
          <w:bCs w:val="1"/>
          <w:color w:val="auto"/>
        </w:rPr>
        <w:t xml:space="preserve">SECTION 311. </w:t>
      </w:r>
      <w:r>
        <w:rPr>
          <w:rFonts w:ascii="Arial" w:cs="Arial" w:eastAsia="Arial" w:hAnsi="Arial"/>
          <w:sz w:val="17"/>
          <w:szCs w:val="17"/>
          <w:b w:val="1"/>
          <w:bCs w:val="1"/>
          <w:u w:val="single" w:color="auto"/>
          <w:color w:val="auto"/>
        </w:rPr>
        <w:t>CUSIP Numbers</w:t>
      </w:r>
      <w:r>
        <w:rPr>
          <w:rFonts w:ascii="Arial" w:cs="Arial" w:eastAsia="Arial" w:hAnsi="Arial"/>
          <w:sz w:val="17"/>
          <w:szCs w:val="17"/>
          <w:color w:val="auto"/>
        </w:rPr>
        <w:t>. The Company in issuing the Securities may use “CUSIP” numbers (if then generally in use), and, if so, the</w:t>
      </w:r>
      <w:r>
        <w:rPr>
          <w:rFonts w:ascii="Arial" w:cs="Arial" w:eastAsia="Arial" w:hAnsi="Arial"/>
          <w:sz w:val="17"/>
          <w:szCs w:val="17"/>
          <w:b w:val="1"/>
          <w:bCs w:val="1"/>
          <w:color w:val="auto"/>
        </w:rPr>
        <w:t xml:space="preserve"> </w:t>
      </w:r>
      <w:r>
        <w:rPr>
          <w:rFonts w:ascii="Arial" w:cs="Arial" w:eastAsia="Arial" w:hAnsi="Arial"/>
          <w:sz w:val="17"/>
          <w:szCs w:val="17"/>
          <w:color w:val="auto"/>
        </w:rPr>
        <w:t>Trustee shall use “CUSIP” numbers in notices of redemption as a convenience to Holders; provided, however,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07"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Satisfaction and Discharge of Indenture</w:t>
      </w:r>
      <w:r>
        <w:rPr>
          <w:rFonts w:ascii="Arial" w:cs="Arial" w:eastAsia="Arial" w:hAnsi="Arial"/>
          <w:sz w:val="18"/>
          <w:szCs w:val="18"/>
          <w:color w:val="auto"/>
        </w:rPr>
        <w:t>. This Indenture shall upon Company Request cease to be of further effect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87" w:lineRule="exact"/>
        <w:rPr>
          <w:sz w:val="20"/>
          <w:szCs w:val="20"/>
          <w:color w:val="auto"/>
        </w:rPr>
      </w:pPr>
    </w:p>
    <w:p>
      <w:pPr>
        <w:ind w:left="1560" w:hanging="256"/>
        <w:spacing w:after="0"/>
        <w:tabs>
          <w:tab w:leader="none" w:pos="15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240" w:hanging="288"/>
        <w:spacing w:after="0"/>
        <w:tabs>
          <w:tab w:leader="none" w:pos="2240" w:val="left"/>
        </w:tabs>
        <w:numPr>
          <w:ilvl w:val="2"/>
          <w:numId w:val="50"/>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and all coupons, if any, appertaining thereto (other than</w:t>
      </w:r>
    </w:p>
    <w:p>
      <w:pPr>
        <w:spacing w:after="0" w:line="46" w:lineRule="exact"/>
        <w:rPr>
          <w:rFonts w:ascii="Arial" w:cs="Arial" w:eastAsia="Arial" w:hAnsi="Arial"/>
          <w:sz w:val="16"/>
          <w:szCs w:val="16"/>
          <w:color w:val="auto"/>
        </w:rPr>
      </w:pPr>
    </w:p>
    <w:p>
      <w:pPr>
        <w:ind w:firstLine="8"/>
        <w:spacing w:after="0" w:line="270" w:lineRule="auto"/>
        <w:tabs>
          <w:tab w:leader="none" w:pos="2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2240" w:hanging="288"/>
        <w:spacing w:after="0"/>
        <w:tabs>
          <w:tab w:leader="none" w:pos="2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Securities of such series and, in the case of (i) or (ii) below, any coupons appertaining thereto not theretofore delivered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Trustee for cancellation</w:t>
      </w:r>
    </w:p>
    <w:p>
      <w:pPr>
        <w:spacing w:after="0" w:line="210" w:lineRule="exact"/>
        <w:rPr>
          <w:rFonts w:ascii="Arial" w:cs="Arial" w:eastAsia="Arial" w:hAnsi="Arial"/>
          <w:sz w:val="16"/>
          <w:szCs w:val="16"/>
          <w:color w:val="auto"/>
        </w:rPr>
      </w:pPr>
    </w:p>
    <w:p>
      <w:pPr>
        <w:ind w:left="2820" w:hanging="220"/>
        <w:spacing w:after="0"/>
        <w:tabs>
          <w:tab w:leader="none" w:pos="28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860" w:hanging="260"/>
        <w:spacing w:after="0"/>
        <w:tabs>
          <w:tab w:leader="none" w:pos="2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300" w:right="220" w:firstLine="1300"/>
        <w:spacing w:after="0" w:line="342" w:lineRule="auto"/>
        <w:tabs>
          <w:tab w:leader="none" w:pos="2911" w:val="left"/>
        </w:tabs>
        <w:numPr>
          <w:ilvl w:val="1"/>
          <w:numId w:val="52"/>
        </w:numPr>
        <w:rPr>
          <w:rFonts w:ascii="Arial" w:cs="Arial" w:eastAsia="Arial" w:hAnsi="Arial"/>
          <w:sz w:val="16"/>
          <w:szCs w:val="16"/>
          <w:color w:val="auto"/>
        </w:rPr>
      </w:pPr>
      <w:r>
        <w:rPr>
          <w:rFonts w:ascii="Arial" w:cs="Arial" w:eastAsia="Arial" w:hAnsi="Arial"/>
          <w:sz w:val="16"/>
          <w:szCs w:val="16"/>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2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76" w:lineRule="exact"/>
        <w:rPr>
          <w:sz w:val="20"/>
          <w:szCs w:val="20"/>
          <w:color w:val="auto"/>
        </w:rPr>
      </w:pPr>
    </w:p>
    <w:p>
      <w:pPr>
        <w:ind w:left="1560" w:hanging="256"/>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680" w:firstLine="1304"/>
        <w:spacing w:after="0" w:line="342" w:lineRule="auto"/>
        <w:tabs>
          <w:tab w:leader="none" w:pos="15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3"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SECTION 402. </w:t>
      </w:r>
      <w:r>
        <w:rPr>
          <w:rFonts w:ascii="Arial" w:cs="Arial" w:eastAsia="Arial" w:hAnsi="Arial"/>
          <w:sz w:val="16"/>
          <w:szCs w:val="16"/>
          <w:b w:val="1"/>
          <w:bCs w:val="1"/>
          <w:u w:val="single" w:color="auto"/>
          <w:color w:val="auto"/>
        </w:rPr>
        <w:t>Application of Trust Funds</w:t>
      </w:r>
      <w:r>
        <w:rPr>
          <w:rFonts w:ascii="Arial" w:cs="Arial" w:eastAsia="Arial" w:hAnsi="Arial"/>
          <w:sz w:val="16"/>
          <w:szCs w:val="16"/>
          <w:color w:val="auto"/>
        </w:rPr>
        <w:t>. Subject to the provisions of the last paragraph of Section 1003, all money deposited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0" w:name="page71"/>
    <w:bookmarkEnd w:id="70"/>
    <w:p>
      <w:pPr>
        <w:ind w:left="512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REMEDIES</w:t>
      </w:r>
    </w:p>
    <w:p>
      <w:pPr>
        <w:spacing w:after="0" w:line="207"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color w:val="auto"/>
        </w:rPr>
        <w:t xml:space="preserve">SECTION 501. </w:t>
      </w:r>
      <w:r>
        <w:rPr>
          <w:rFonts w:ascii="Arial" w:cs="Arial" w:eastAsia="Arial" w:hAnsi="Arial"/>
          <w:sz w:val="16"/>
          <w:szCs w:val="16"/>
          <w:b w:val="1"/>
          <w:bCs w:val="1"/>
          <w:u w:val="single" w:color="auto"/>
          <w:color w:val="auto"/>
        </w:rPr>
        <w:t>Events of Default</w:t>
      </w:r>
      <w:r>
        <w:rPr>
          <w:rFonts w:ascii="Arial" w:cs="Arial" w:eastAsia="Arial" w:hAnsi="Arial"/>
          <w:sz w:val="16"/>
          <w:szCs w:val="16"/>
          <w:color w:val="auto"/>
        </w:rPr>
        <w:t>. “Event of Default,” wherever used herein with respect to any particular series of Securities, means any one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46" w:lineRule="exact"/>
        <w:rPr>
          <w:sz w:val="20"/>
          <w:szCs w:val="20"/>
          <w:color w:val="auto"/>
        </w:rPr>
      </w:pPr>
    </w:p>
    <w:p>
      <w:pPr>
        <w:ind w:right="460" w:firstLine="1304"/>
        <w:spacing w:after="0" w:line="277" w:lineRule="auto"/>
        <w:tabs>
          <w:tab w:leader="none" w:pos="15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70" w:lineRule="exact"/>
        <w:rPr>
          <w:rFonts w:ascii="Arial" w:cs="Arial" w:eastAsia="Arial" w:hAnsi="Arial"/>
          <w:sz w:val="18"/>
          <w:szCs w:val="18"/>
          <w:color w:val="auto"/>
        </w:rPr>
      </w:pPr>
    </w:p>
    <w:p>
      <w:pPr>
        <w:ind w:right="620" w:firstLine="1304"/>
        <w:spacing w:after="0" w:line="277" w:lineRule="auto"/>
        <w:tabs>
          <w:tab w:leader="none" w:pos="15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170" w:lineRule="exact"/>
        <w:rPr>
          <w:rFonts w:ascii="Arial" w:cs="Arial" w:eastAsia="Arial" w:hAnsi="Arial"/>
          <w:sz w:val="18"/>
          <w:szCs w:val="18"/>
          <w:color w:val="auto"/>
        </w:rPr>
      </w:pPr>
    </w:p>
    <w:p>
      <w:pPr>
        <w:ind w:right="80" w:firstLine="1304"/>
        <w:spacing w:after="0" w:line="277" w:lineRule="auto"/>
        <w:tabs>
          <w:tab w:leader="none" w:pos="15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to the extent applicable to such series of Securities, when and as due by the terms of any Security of that series; or</w:t>
      </w:r>
    </w:p>
    <w:p>
      <w:pPr>
        <w:spacing w:after="0" w:line="170" w:lineRule="exact"/>
        <w:rPr>
          <w:rFonts w:ascii="Arial" w:cs="Arial" w:eastAsia="Arial" w:hAnsi="Arial"/>
          <w:sz w:val="18"/>
          <w:szCs w:val="18"/>
          <w:color w:val="auto"/>
        </w:rPr>
      </w:pPr>
    </w:p>
    <w:p>
      <w:pPr>
        <w:ind w:right="20" w:firstLine="1304"/>
        <w:spacing w:after="0" w:line="273" w:lineRule="auto"/>
        <w:tabs>
          <w:tab w:leader="none" w:pos="1551"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7" w:lineRule="exact"/>
        <w:rPr>
          <w:rFonts w:ascii="Arial" w:cs="Arial" w:eastAsia="Arial" w:hAnsi="Arial"/>
          <w:sz w:val="17"/>
          <w:szCs w:val="17"/>
          <w:color w:val="auto"/>
        </w:rPr>
      </w:pPr>
    </w:p>
    <w:p>
      <w:pPr>
        <w:ind w:firstLine="1304"/>
        <w:spacing w:after="0" w:line="269" w:lineRule="auto"/>
        <w:tabs>
          <w:tab w:leader="none" w:pos="1551"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provided, however,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1" w:name="page72"/>
    <w:bookmarkEnd w:id="71"/>
    <w:p>
      <w:pPr>
        <w:ind w:left="1560" w:hanging="256"/>
        <w:spacing w:after="0"/>
        <w:tabs>
          <w:tab w:leader="none" w:pos="1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225" w:lineRule="exact"/>
        <w:rPr>
          <w:rFonts w:ascii="Arial" w:cs="Arial" w:eastAsia="Arial" w:hAnsi="Arial"/>
          <w:sz w:val="18"/>
          <w:szCs w:val="18"/>
          <w:color w:val="auto"/>
        </w:rPr>
      </w:pPr>
    </w:p>
    <w:p>
      <w:pPr>
        <w:ind w:left="2240" w:hanging="288"/>
        <w:spacing w:after="0"/>
        <w:tabs>
          <w:tab w:leader="none" w:pos="22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240" w:hanging="288"/>
        <w:spacing w:after="0"/>
        <w:tabs>
          <w:tab w:leader="none" w:pos="22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240" w:hanging="288"/>
        <w:spacing w:after="0"/>
        <w:tabs>
          <w:tab w:leader="none" w:pos="22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225" w:lineRule="exact"/>
        <w:rPr>
          <w:rFonts w:ascii="Arial" w:cs="Arial" w:eastAsia="Arial" w:hAnsi="Arial"/>
          <w:sz w:val="18"/>
          <w:szCs w:val="18"/>
          <w:color w:val="auto"/>
        </w:rPr>
      </w:pPr>
    </w:p>
    <w:p>
      <w:pPr>
        <w:ind w:left="2240" w:hanging="288"/>
        <w:spacing w:after="0"/>
        <w:tabs>
          <w:tab w:leader="none" w:pos="22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240" w:hanging="288"/>
        <w:spacing w:after="0"/>
        <w:tabs>
          <w:tab w:leader="none" w:pos="22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225" w:lineRule="exact"/>
        <w:rPr>
          <w:rFonts w:ascii="Arial" w:cs="Arial" w:eastAsia="Arial" w:hAnsi="Arial"/>
          <w:sz w:val="18"/>
          <w:szCs w:val="18"/>
          <w:color w:val="auto"/>
        </w:rPr>
      </w:pPr>
    </w:p>
    <w:p>
      <w:pPr>
        <w:ind w:left="2240" w:hanging="288"/>
        <w:spacing w:after="0"/>
        <w:tabs>
          <w:tab w:leader="none" w:pos="22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appoints a Custodian of the Company or any Significant Subsidiary or for all or substantially all of either of its property, or</w:t>
      </w:r>
    </w:p>
    <w:p>
      <w:pPr>
        <w:spacing w:after="0" w:line="248" w:lineRule="exact"/>
        <w:rPr>
          <w:rFonts w:ascii="Arial" w:cs="Arial" w:eastAsia="Arial" w:hAnsi="Arial"/>
          <w:sz w:val="16"/>
          <w:szCs w:val="16"/>
          <w:color w:val="auto"/>
        </w:rPr>
      </w:pPr>
    </w:p>
    <w:p>
      <w:pPr>
        <w:ind w:left="2240" w:hanging="288"/>
        <w:spacing w:after="0"/>
        <w:tabs>
          <w:tab w:leader="none" w:pos="22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orders the liquidation of the Company or any Significant Subsidiary, and the order or decree remains unstayed and in effect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 90 days; or</w:t>
      </w:r>
    </w:p>
    <w:p>
      <w:pPr>
        <w:spacing w:after="0" w:line="210" w:lineRule="exact"/>
        <w:rPr>
          <w:rFonts w:ascii="Arial" w:cs="Arial" w:eastAsia="Arial" w:hAnsi="Arial"/>
          <w:sz w:val="16"/>
          <w:szCs w:val="16"/>
          <w:color w:val="auto"/>
        </w:rPr>
      </w:pPr>
    </w:p>
    <w:p>
      <w:pPr>
        <w:ind w:left="1560" w:hanging="256"/>
        <w:spacing w:after="0"/>
        <w:tabs>
          <w:tab w:leader="none" w:pos="1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b w:val="1"/>
          <w:bCs w:val="1"/>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1"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87" w:lineRule="exact"/>
        <w:rPr>
          <w:sz w:val="20"/>
          <w:szCs w:val="20"/>
          <w:color w:val="auto"/>
        </w:rPr>
      </w:pPr>
    </w:p>
    <w:p>
      <w:pPr>
        <w:ind w:right="240" w:firstLine="1304"/>
        <w:spacing w:after="0" w:line="342" w:lineRule="auto"/>
        <w:tabs>
          <w:tab w:leader="none" w:pos="155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23" w:lineRule="exact"/>
        <w:rPr>
          <w:rFonts w:ascii="Arial" w:cs="Arial" w:eastAsia="Arial" w:hAnsi="Arial"/>
          <w:sz w:val="16"/>
          <w:szCs w:val="16"/>
          <w:color w:val="auto"/>
        </w:rPr>
      </w:pPr>
    </w:p>
    <w:p>
      <w:pPr>
        <w:ind w:left="2240" w:hanging="288"/>
        <w:spacing w:after="0"/>
        <w:tabs>
          <w:tab w:leader="none" w:pos="22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w:t>
      </w:r>
    </w:p>
    <w:p>
      <w:pPr>
        <w:spacing w:after="0" w:line="225" w:lineRule="exact"/>
        <w:rPr>
          <w:rFonts w:ascii="Arial" w:cs="Arial" w:eastAsia="Arial" w:hAnsi="Arial"/>
          <w:sz w:val="18"/>
          <w:szCs w:val="18"/>
          <w:color w:val="auto"/>
        </w:rPr>
      </w:pPr>
    </w:p>
    <w:p>
      <w:pPr>
        <w:ind w:left="660" w:right="80" w:firstLine="1292"/>
        <w:spacing w:after="0" w:line="342" w:lineRule="auto"/>
        <w:tabs>
          <w:tab w:leader="none" w:pos="2241"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2" w:name="page73"/>
    <w:bookmarkEnd w:id="72"/>
    <w:p>
      <w:pPr>
        <w:ind w:left="660" w:right="180" w:firstLine="1292"/>
        <w:spacing w:after="0" w:line="277" w:lineRule="auto"/>
        <w:tabs>
          <w:tab w:leader="none" w:pos="2241"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170" w:lineRule="exact"/>
        <w:rPr>
          <w:rFonts w:ascii="Arial" w:cs="Arial" w:eastAsia="Arial" w:hAnsi="Arial"/>
          <w:sz w:val="18"/>
          <w:szCs w:val="18"/>
          <w:color w:val="auto"/>
        </w:rPr>
      </w:pPr>
    </w:p>
    <w:p>
      <w:pPr>
        <w:ind w:left="660" w:right="680" w:firstLine="1292"/>
        <w:spacing w:after="0" w:line="277" w:lineRule="auto"/>
        <w:tabs>
          <w:tab w:leader="none" w:pos="225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firstLine="1304"/>
        <w:spacing w:after="0" w:line="263" w:lineRule="auto"/>
        <w:tabs>
          <w:tab w:leader="none" w:pos="155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b w:val="1"/>
          <w:bCs w:val="1"/>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229" w:lineRule="exact"/>
        <w:rPr>
          <w:sz w:val="20"/>
          <w:szCs w:val="20"/>
          <w:color w:val="auto"/>
        </w:rPr>
      </w:pPr>
    </w:p>
    <w:p>
      <w:pPr>
        <w:ind w:right="100" w:firstLine="1304"/>
        <w:spacing w:after="0" w:line="277" w:lineRule="auto"/>
        <w:tabs>
          <w:tab w:leader="none" w:pos="1551"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default is made in the payment of the principal of (or premium or Make-Whole Amount, if any, on) any Security of any series at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Maturity,</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ind w:right="140" w:firstLine="648"/>
        <w:spacing w:after="0" w:line="256" w:lineRule="auto"/>
        <w:rPr>
          <w:sz w:val="20"/>
          <w:szCs w:val="20"/>
          <w:color w:val="auto"/>
        </w:rPr>
      </w:pPr>
      <w:r>
        <w:rPr>
          <w:rFonts w:ascii="Arial" w:cs="Arial" w:eastAsia="Arial" w:hAnsi="Arial"/>
          <w:sz w:val="18"/>
          <w:szCs w:val="18"/>
          <w:b w:val="1"/>
          <w:bCs w:val="1"/>
          <w:color w:val="auto"/>
        </w:rPr>
        <w:t xml:space="preserve">SECTION 504. </w:t>
      </w:r>
      <w:r>
        <w:rPr>
          <w:rFonts w:ascii="Arial" w:cs="Arial" w:eastAsia="Arial" w:hAnsi="Arial"/>
          <w:sz w:val="18"/>
          <w:szCs w:val="18"/>
          <w:b w:val="1"/>
          <w:bCs w:val="1"/>
          <w:u w:val="single" w:color="auto"/>
          <w:color w:val="auto"/>
        </w:rPr>
        <w:t>Trustee May File Proofs of Claim</w:t>
      </w:r>
      <w:r>
        <w:rPr>
          <w:rFonts w:ascii="Arial" w:cs="Arial" w:eastAsia="Arial" w:hAnsi="Arial"/>
          <w:sz w:val="18"/>
          <w:szCs w:val="18"/>
          <w:color w:val="auto"/>
        </w:rPr>
        <w:t>. In case of the pendency of any receivership, insolvency, liquidation, bankruptcy,</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91" w:lineRule="exact"/>
        <w:rPr>
          <w:sz w:val="20"/>
          <w:szCs w:val="20"/>
          <w:color w:val="auto"/>
        </w:rPr>
      </w:pPr>
    </w:p>
    <w:p>
      <w:pPr>
        <w:ind w:right="80" w:firstLine="1952"/>
        <w:spacing w:after="0" w:line="301" w:lineRule="auto"/>
        <w:tabs>
          <w:tab w:leader="none" w:pos="215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57" w:lineRule="exact"/>
        <w:rPr>
          <w:rFonts w:ascii="Arial" w:cs="Arial" w:eastAsia="Arial" w:hAnsi="Arial"/>
          <w:sz w:val="16"/>
          <w:szCs w:val="16"/>
          <w:color w:val="auto"/>
        </w:rPr>
      </w:pPr>
    </w:p>
    <w:p>
      <w:pPr>
        <w:ind w:left="2220" w:hanging="268"/>
        <w:spacing w:after="0"/>
        <w:tabs>
          <w:tab w:leader="none" w:pos="2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the same;</w:t>
      </w:r>
    </w:p>
    <w:p>
      <w:pPr>
        <w:spacing w:after="0" w:line="2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57" w:lineRule="exact"/>
        <w:rPr>
          <w:sz w:val="20"/>
          <w:szCs w:val="20"/>
          <w:color w:val="auto"/>
        </w:rPr>
      </w:pPr>
    </w:p>
    <w:p>
      <w:pPr>
        <w:jc w:val="both"/>
        <w:ind w:right="420" w:firstLine="648"/>
        <w:spacing w:after="0" w:line="311" w:lineRule="auto"/>
        <w:rPr>
          <w:sz w:val="20"/>
          <w:szCs w:val="20"/>
          <w:color w:val="auto"/>
        </w:rPr>
      </w:pPr>
      <w:r>
        <w:rPr>
          <w:rFonts w:ascii="Arial" w:cs="Arial" w:eastAsia="Arial" w:hAnsi="Arial"/>
          <w:sz w:val="16"/>
          <w:szCs w:val="16"/>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4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0"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b w:val="1"/>
          <w:bCs w:val="1"/>
          <w:color w:val="auto"/>
        </w:rPr>
        <w:t xml:space="preserve">SECTION 505. </w:t>
      </w:r>
      <w:r>
        <w:rPr>
          <w:rFonts w:ascii="Arial" w:cs="Arial" w:eastAsia="Arial" w:hAnsi="Arial"/>
          <w:sz w:val="18"/>
          <w:szCs w:val="18"/>
          <w:b w:val="1"/>
          <w:bCs w:val="1"/>
          <w:u w:val="single" w:color="auto"/>
          <w:color w:val="auto"/>
        </w:rPr>
        <w:t>Trustee May Enforce Claims Without Possession of Securities or Coupons</w:t>
      </w:r>
      <w:r>
        <w:rPr>
          <w:rFonts w:ascii="Arial" w:cs="Arial" w:eastAsia="Arial" w:hAnsi="Arial"/>
          <w:sz w:val="18"/>
          <w:szCs w:val="18"/>
          <w:color w:val="auto"/>
        </w:rPr>
        <w:t>. All rights of action and claims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506. </w:t>
      </w:r>
      <w:r>
        <w:rPr>
          <w:rFonts w:ascii="Arial" w:cs="Arial" w:eastAsia="Arial" w:hAnsi="Arial"/>
          <w:sz w:val="18"/>
          <w:szCs w:val="18"/>
          <w:b w:val="1"/>
          <w:bCs w:val="1"/>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p>
      <w:pPr>
        <w:ind w:left="130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To the payment of the remainder, if any, to the Company.</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SECTION 507. </w:t>
      </w:r>
      <w:r>
        <w:rPr>
          <w:rFonts w:ascii="Arial" w:cs="Arial" w:eastAsia="Arial" w:hAnsi="Arial"/>
          <w:sz w:val="18"/>
          <w:szCs w:val="18"/>
          <w:b w:val="1"/>
          <w:bCs w:val="1"/>
          <w:u w:val="single" w:color="auto"/>
          <w:color w:val="auto"/>
        </w:rPr>
        <w:t>Limitation on Suits</w:t>
      </w:r>
      <w:r>
        <w:rPr>
          <w:rFonts w:ascii="Arial" w:cs="Arial" w:eastAsia="Arial" w:hAnsi="Arial"/>
          <w:sz w:val="18"/>
          <w:szCs w:val="18"/>
          <w:color w:val="auto"/>
        </w:rPr>
        <w:t>. No Holder of any Security of any series or any related coupon shall have any right to institute any</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proceeding, judicial or otherwise, with respect to this Indenture, or for the appointment of a receiver or trustee, or for any other remedy hereunder, unless:</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such Holder has previously given written notice to the Trustee of a continuing Event of Default with respect to the Securities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firstLine="1304"/>
        <w:spacing w:after="0" w:line="277" w:lineRule="auto"/>
        <w:tabs>
          <w:tab w:leader="none" w:pos="15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260" w:firstLine="1304"/>
        <w:spacing w:after="0" w:line="277" w:lineRule="auto"/>
        <w:tabs>
          <w:tab w:leader="none" w:pos="15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right="540" w:firstLine="1304"/>
        <w:spacing w:after="0" w:line="277" w:lineRule="auto"/>
        <w:tabs>
          <w:tab w:leader="none" w:pos="15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3"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b w:val="1"/>
          <w:bCs w:val="1"/>
          <w:color w:val="auto"/>
        </w:rPr>
        <w:t xml:space="preserve">SECTION 508. </w:t>
      </w:r>
      <w:r>
        <w:rPr>
          <w:rFonts w:ascii="Arial" w:cs="Arial" w:eastAsia="Arial" w:hAnsi="Arial"/>
          <w:sz w:val="16"/>
          <w:szCs w:val="16"/>
          <w:b w:val="1"/>
          <w:bCs w:val="1"/>
          <w:u w:val="single" w:color="auto"/>
          <w:color w:val="auto"/>
        </w:rPr>
        <w:t>Unconditional Right of Holders to Receive Principal, Premium or Make-Whole Amount, if any, and Interest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SECTION 509. </w:t>
      </w:r>
      <w:r>
        <w:rPr>
          <w:rFonts w:ascii="Arial" w:cs="Arial" w:eastAsia="Arial" w:hAnsi="Arial"/>
          <w:sz w:val="17"/>
          <w:szCs w:val="17"/>
          <w:b w:val="1"/>
          <w:bCs w:val="1"/>
          <w:u w:val="single" w:color="auto"/>
          <w:color w:val="auto"/>
        </w:rPr>
        <w:t>Restoration of Rights and Remedies</w:t>
      </w:r>
      <w:r>
        <w:rPr>
          <w:rFonts w:ascii="Arial" w:cs="Arial" w:eastAsia="Arial" w:hAnsi="Arial"/>
          <w:sz w:val="17"/>
          <w:szCs w:val="17"/>
          <w:color w:val="auto"/>
        </w:rPr>
        <w:t>. If the Trustee or any Holder of a Security or coupon has instituted any proceeding to</w:t>
      </w:r>
      <w:r>
        <w:rPr>
          <w:rFonts w:ascii="Arial" w:cs="Arial" w:eastAsia="Arial" w:hAnsi="Arial"/>
          <w:sz w:val="17"/>
          <w:szCs w:val="17"/>
          <w:b w:val="1"/>
          <w:bCs w:val="1"/>
          <w:color w:val="auto"/>
        </w:rPr>
        <w:t xml:space="preserve"> </w:t>
      </w:r>
      <w:r>
        <w:rPr>
          <w:rFonts w:ascii="Arial" w:cs="Arial" w:eastAsia="Arial" w:hAnsi="Arial"/>
          <w:sz w:val="17"/>
          <w:szCs w:val="17"/>
          <w:color w:val="auto"/>
        </w:rPr>
        <w:t>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Rights and Remedies Cumulative</w:t>
      </w:r>
      <w:r>
        <w:rPr>
          <w:rFonts w:ascii="Arial" w:cs="Arial" w:eastAsia="Arial" w:hAnsi="Arial"/>
          <w:sz w:val="18"/>
          <w:szCs w:val="18"/>
          <w:color w:val="auto"/>
        </w:rPr>
        <w:t>. Except as otherwise provided with respect to the replacement or payment of mutilated,</w:t>
      </w:r>
      <w:r>
        <w:rPr>
          <w:rFonts w:ascii="Arial" w:cs="Arial" w:eastAsia="Arial" w:hAnsi="Arial"/>
          <w:sz w:val="18"/>
          <w:szCs w:val="18"/>
          <w:b w:val="1"/>
          <w:bCs w:val="1"/>
          <w:color w:val="auto"/>
        </w:rPr>
        <w:t xml:space="preserve"> </w:t>
      </w:r>
      <w:r>
        <w:rPr>
          <w:rFonts w:ascii="Arial" w:cs="Arial" w:eastAsia="Arial" w:hAnsi="Arial"/>
          <w:sz w:val="18"/>
          <w:szCs w:val="18"/>
          <w:color w:val="auto"/>
        </w:rPr>
        <w:t>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color w:val="auto"/>
        </w:rPr>
        <w:t xml:space="preserve">SECTION 511. </w:t>
      </w:r>
      <w:r>
        <w:rPr>
          <w:rFonts w:ascii="Arial" w:cs="Arial" w:eastAsia="Arial" w:hAnsi="Arial"/>
          <w:sz w:val="17"/>
          <w:szCs w:val="17"/>
          <w:b w:val="1"/>
          <w:bCs w:val="1"/>
          <w:u w:val="single" w:color="auto"/>
          <w:color w:val="auto"/>
        </w:rPr>
        <w:t>Delay or Omission Not Waiver</w:t>
      </w:r>
      <w:r>
        <w:rPr>
          <w:rFonts w:ascii="Arial" w:cs="Arial" w:eastAsia="Arial" w:hAnsi="Arial"/>
          <w:sz w:val="17"/>
          <w:szCs w:val="17"/>
          <w:color w:val="auto"/>
        </w:rPr>
        <w:t>. No delay or omission of the Trustee or of any Holder of any Security or coupon to exercise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65"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b w:val="1"/>
          <w:bCs w:val="1"/>
          <w:u w:val="single" w:color="auto"/>
          <w:color w:val="auto"/>
        </w:rPr>
        <w:t>Control by Holders of Securities</w:t>
      </w:r>
      <w:r>
        <w:rPr>
          <w:rFonts w:ascii="Arial" w:cs="Arial" w:eastAsia="Arial" w:hAnsi="Arial"/>
          <w:sz w:val="18"/>
          <w:szCs w:val="18"/>
          <w:color w:val="auto"/>
        </w:rPr>
        <w:t>. The Holders of not less than a majority in principal amount of the Outstanding Securities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0" w:lineRule="exact"/>
        <w:rPr>
          <w:sz w:val="20"/>
          <w:szCs w:val="20"/>
          <w:color w:val="auto"/>
        </w:rPr>
      </w:pPr>
    </w:p>
    <w:p>
      <w:pPr>
        <w:ind w:left="1560" w:hanging="256"/>
        <w:spacing w:after="0"/>
        <w:tabs>
          <w:tab w:leader="none" w:pos="15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right="180" w:firstLine="1304"/>
        <w:spacing w:after="0" w:line="277" w:lineRule="auto"/>
        <w:tabs>
          <w:tab w:leader="none" w:pos="155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by Holders.</w:t>
      </w:r>
    </w:p>
    <w:p>
      <w:pPr>
        <w:spacing w:after="0" w:line="16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SECTION 513. </w:t>
      </w:r>
      <w:r>
        <w:rPr>
          <w:rFonts w:ascii="Arial" w:cs="Arial" w:eastAsia="Arial" w:hAnsi="Arial"/>
          <w:sz w:val="18"/>
          <w:szCs w:val="18"/>
          <w:b w:val="1"/>
          <w:bCs w:val="1"/>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w:t>
      </w:r>
      <w:r>
        <w:rPr>
          <w:rFonts w:ascii="Arial" w:cs="Arial" w:eastAsia="Arial" w:hAnsi="Arial"/>
          <w:sz w:val="18"/>
          <w:szCs w:val="18"/>
          <w:b w:val="1"/>
          <w:bCs w:val="1"/>
          <w:color w:val="auto"/>
        </w:rPr>
        <w:t xml:space="preserve"> </w:t>
      </w:r>
      <w:r>
        <w:rPr>
          <w:rFonts w:ascii="Arial" w:cs="Arial" w:eastAsia="Arial" w:hAnsi="Arial"/>
          <w:sz w:val="18"/>
          <w:szCs w:val="18"/>
          <w:color w:val="auto"/>
        </w:rPr>
        <w:t>may on behalf of the Holders of all the Securities of such series and any related coupons waive any past default hereunder with respect to such series and its consequences, except a default</w:t>
      </w:r>
    </w:p>
    <w:p>
      <w:pPr>
        <w:spacing w:after="0" w:line="180" w:lineRule="exact"/>
        <w:rPr>
          <w:sz w:val="20"/>
          <w:szCs w:val="20"/>
          <w:color w:val="auto"/>
        </w:rPr>
      </w:pPr>
    </w:p>
    <w:p>
      <w:pPr>
        <w:ind w:left="1560" w:hanging="256"/>
        <w:spacing w:after="0"/>
        <w:tabs>
          <w:tab w:leader="none" w:pos="15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the payment of the principal of (or premium or Make-Whole Amount, if any) or interest on any Security of such series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related coupons, or</w:t>
      </w:r>
    </w:p>
    <w:p>
      <w:pPr>
        <w:spacing w:after="0" w:line="210" w:lineRule="exact"/>
        <w:rPr>
          <w:rFonts w:ascii="Arial" w:cs="Arial" w:eastAsia="Arial" w:hAnsi="Arial"/>
          <w:sz w:val="17"/>
          <w:szCs w:val="17"/>
          <w:color w:val="auto"/>
        </w:rPr>
      </w:pPr>
    </w:p>
    <w:p>
      <w:pPr>
        <w:ind w:right="440" w:firstLine="1304"/>
        <w:spacing w:after="0" w:line="277" w:lineRule="auto"/>
        <w:tabs>
          <w:tab w:leader="none" w:pos="155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respect of a covenant or provision hereof for the benefit or protection of the Trustee, without its express written consent.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right="80" w:firstLine="648"/>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0"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 xml:space="preserve">SECTION 514. </w:t>
      </w:r>
      <w:r>
        <w:rPr>
          <w:rFonts w:ascii="Arial" w:cs="Arial" w:eastAsia="Arial" w:hAnsi="Arial"/>
          <w:sz w:val="16"/>
          <w:szCs w:val="16"/>
          <w:b w:val="1"/>
          <w:bCs w:val="1"/>
          <w:u w:val="single" w:color="auto"/>
          <w:color w:val="auto"/>
        </w:rPr>
        <w:t>Waiver of Usury, Stay or Extension Laws</w:t>
      </w:r>
      <w:r>
        <w:rPr>
          <w:rFonts w:ascii="Arial" w:cs="Arial" w:eastAsia="Arial" w:hAnsi="Arial"/>
          <w:sz w:val="16"/>
          <w:szCs w:val="16"/>
          <w:color w:val="auto"/>
        </w:rPr>
        <w:t>. The Company covenants (to the extent that it may lawfully do so) that it will not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SECTION 515. </w:t>
      </w:r>
      <w:r>
        <w:rPr>
          <w:rFonts w:ascii="Arial" w:cs="Arial" w:eastAsia="Arial" w:hAnsi="Arial"/>
          <w:sz w:val="17"/>
          <w:szCs w:val="17"/>
          <w:b w:val="1"/>
          <w:bCs w:val="1"/>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0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 xml:space="preserve">SECTION 601. </w:t>
      </w:r>
      <w:r>
        <w:rPr>
          <w:rFonts w:ascii="Arial" w:cs="Arial" w:eastAsia="Arial" w:hAnsi="Arial"/>
          <w:sz w:val="17"/>
          <w:szCs w:val="17"/>
          <w:b w:val="1"/>
          <w:bCs w:val="1"/>
          <w:u w:val="single" w:color="auto"/>
          <w:color w:val="auto"/>
        </w:rPr>
        <w:t>Notice of Defaults</w:t>
      </w:r>
      <w:r>
        <w:rPr>
          <w:rFonts w:ascii="Arial" w:cs="Arial" w:eastAsia="Arial" w:hAnsi="Arial"/>
          <w:sz w:val="17"/>
          <w:szCs w:val="17"/>
          <w:color w:val="auto"/>
        </w:rPr>
        <w:t>. Within 90 days after the occurrence of any default hereunder with respect to the Securities of any series, the</w:t>
      </w:r>
      <w:r>
        <w:rPr>
          <w:rFonts w:ascii="Arial" w:cs="Arial" w:eastAsia="Arial" w:hAnsi="Arial"/>
          <w:sz w:val="17"/>
          <w:szCs w:val="17"/>
          <w:b w:val="1"/>
          <w:bCs w:val="1"/>
          <w:color w:val="auto"/>
        </w:rPr>
        <w:t xml:space="preserve"> </w:t>
      </w:r>
      <w:r>
        <w:rPr>
          <w:rFonts w:ascii="Arial" w:cs="Arial" w:eastAsia="Arial" w:hAnsi="Arial"/>
          <w:sz w:val="17"/>
          <w:szCs w:val="17"/>
          <w:color w:val="auto"/>
        </w:rPr>
        <w:t>Trustee shall transmit in the manner and to the extent provided in TIA Section 313(c), notice of such default hereunder known to the Trustee, unless such default shall have been cured or waived; provided, however,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provided further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602. </w:t>
      </w:r>
      <w:r>
        <w:rPr>
          <w:rFonts w:ascii="Arial" w:cs="Arial" w:eastAsia="Arial" w:hAnsi="Arial"/>
          <w:sz w:val="18"/>
          <w:szCs w:val="18"/>
          <w:b w:val="1"/>
          <w:bCs w:val="1"/>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229" w:lineRule="exact"/>
        <w:rPr>
          <w:sz w:val="20"/>
          <w:szCs w:val="20"/>
          <w:color w:val="auto"/>
        </w:rPr>
      </w:pPr>
    </w:p>
    <w:p>
      <w:pPr>
        <w:ind w:right="200" w:firstLine="1304"/>
        <w:spacing w:after="0" w:line="311" w:lineRule="auto"/>
        <w:tabs>
          <w:tab w:leader="none" w:pos="1551"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48" w:lineRule="exact"/>
        <w:rPr>
          <w:rFonts w:ascii="Arial" w:cs="Arial" w:eastAsia="Arial" w:hAnsi="Arial"/>
          <w:sz w:val="16"/>
          <w:szCs w:val="16"/>
          <w:color w:val="auto"/>
        </w:rPr>
      </w:pPr>
    </w:p>
    <w:p>
      <w:pPr>
        <w:jc w:val="both"/>
        <w:ind w:right="120" w:firstLine="1304"/>
        <w:spacing w:after="0" w:line="259" w:lineRule="auto"/>
        <w:tabs>
          <w:tab w:leader="none" w:pos="1551"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20" w:right="120" w:firstLine="1304"/>
        <w:spacing w:after="0" w:line="263" w:lineRule="auto"/>
        <w:tabs>
          <w:tab w:leader="none" w:pos="15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3" w:lineRule="exact"/>
        <w:rPr>
          <w:rFonts w:ascii="Arial" w:cs="Arial" w:eastAsia="Arial" w:hAnsi="Arial"/>
          <w:sz w:val="18"/>
          <w:szCs w:val="18"/>
          <w:color w:val="auto"/>
        </w:rPr>
      </w:pPr>
    </w:p>
    <w:p>
      <w:pPr>
        <w:ind w:left="-20" w:right="200" w:firstLine="1304"/>
        <w:spacing w:after="0" w:line="342" w:lineRule="auto"/>
        <w:tabs>
          <w:tab w:leader="none" w:pos="15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ind w:left="-20" w:firstLine="1304"/>
        <w:spacing w:after="0" w:line="259" w:lineRule="auto"/>
        <w:tabs>
          <w:tab w:leader="none" w:pos="15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6" w:lineRule="exact"/>
        <w:rPr>
          <w:rFonts w:ascii="Arial" w:cs="Arial" w:eastAsia="Arial" w:hAnsi="Arial"/>
          <w:sz w:val="18"/>
          <w:szCs w:val="18"/>
          <w:color w:val="auto"/>
        </w:rPr>
      </w:pPr>
    </w:p>
    <w:p>
      <w:pPr>
        <w:ind w:left="-20" w:right="40" w:firstLine="1304"/>
        <w:spacing w:after="0" w:line="288" w:lineRule="auto"/>
        <w:tabs>
          <w:tab w:leader="none" w:pos="15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68" w:lineRule="exact"/>
        <w:rPr>
          <w:rFonts w:ascii="Arial" w:cs="Arial" w:eastAsia="Arial" w:hAnsi="Arial"/>
          <w:sz w:val="16"/>
          <w:szCs w:val="16"/>
          <w:color w:val="auto"/>
        </w:rPr>
      </w:pPr>
    </w:p>
    <w:p>
      <w:pPr>
        <w:ind w:left="-20" w:right="80" w:firstLine="1304"/>
        <w:spacing w:after="0" w:line="263" w:lineRule="auto"/>
        <w:tabs>
          <w:tab w:leader="none" w:pos="15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ind w:left="-20" w:right="740" w:firstLine="1304"/>
        <w:spacing w:after="0" w:line="277" w:lineRule="auto"/>
        <w:tabs>
          <w:tab w:leader="none" w:pos="15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20" w:right="300" w:firstLine="1304"/>
        <w:spacing w:after="0" w:line="277" w:lineRule="auto"/>
        <w:tabs>
          <w:tab w:leader="none" w:pos="15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permissive right or power available to the Trustee under this Indenture or any supplement hereto shall not be construed to be a mandatory duty or obligation;</w:t>
      </w:r>
    </w:p>
    <w:p>
      <w:pPr>
        <w:spacing w:after="0" w:line="170" w:lineRule="exact"/>
        <w:rPr>
          <w:rFonts w:ascii="Arial" w:cs="Arial" w:eastAsia="Arial" w:hAnsi="Arial"/>
          <w:sz w:val="18"/>
          <w:szCs w:val="18"/>
          <w:color w:val="auto"/>
        </w:rPr>
      </w:pPr>
    </w:p>
    <w:p>
      <w:pPr>
        <w:ind w:left="-20" w:right="140" w:firstLine="1304"/>
        <w:spacing w:after="0" w:line="263" w:lineRule="auto"/>
        <w:tabs>
          <w:tab w:leader="none" w:pos="16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78" w:name="page79"/>
    <w:bookmarkEnd w:id="78"/>
    <w:p>
      <w:pPr>
        <w:ind w:right="60" w:firstLine="1304"/>
        <w:spacing w:after="0" w:line="277" w:lineRule="auto"/>
        <w:tabs>
          <w:tab w:leader="none" w:pos="16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170" w:lineRule="exact"/>
        <w:rPr>
          <w:rFonts w:ascii="Arial" w:cs="Arial" w:eastAsia="Arial" w:hAnsi="Arial"/>
          <w:sz w:val="18"/>
          <w:szCs w:val="18"/>
          <w:color w:val="auto"/>
        </w:rPr>
      </w:pPr>
    </w:p>
    <w:p>
      <w:pPr>
        <w:ind w:right="540" w:firstLine="1304"/>
        <w:spacing w:after="0" w:line="263" w:lineRule="auto"/>
        <w:tabs>
          <w:tab w:leader="none" w:pos="16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83" w:lineRule="exact"/>
        <w:rPr>
          <w:rFonts w:ascii="Arial" w:cs="Arial" w:eastAsia="Arial" w:hAnsi="Arial"/>
          <w:sz w:val="18"/>
          <w:szCs w:val="18"/>
          <w:color w:val="auto"/>
        </w:rPr>
      </w:pPr>
    </w:p>
    <w:p>
      <w:pPr>
        <w:ind w:right="120" w:firstLine="1304"/>
        <w:spacing w:after="0" w:line="311" w:lineRule="auto"/>
        <w:tabs>
          <w:tab w:leader="none" w:pos="1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603. </w:t>
      </w:r>
      <w:r>
        <w:rPr>
          <w:rFonts w:ascii="Arial" w:cs="Arial" w:eastAsia="Arial" w:hAnsi="Arial"/>
          <w:sz w:val="17"/>
          <w:szCs w:val="17"/>
          <w:b w:val="1"/>
          <w:bCs w:val="1"/>
          <w:u w:val="single" w:color="auto"/>
          <w:color w:val="auto"/>
        </w:rPr>
        <w:t>Not Responsible for Recitals or Issuance of Securities</w:t>
      </w:r>
      <w:r>
        <w:rPr>
          <w:rFonts w:ascii="Arial" w:cs="Arial" w:eastAsia="Arial" w:hAnsi="Arial"/>
          <w:sz w:val="17"/>
          <w:szCs w:val="17"/>
          <w:color w:val="auto"/>
        </w:rPr>
        <w:t>. The recitals contained herein and in the Securities, except the Trustee’s</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7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604. </w:t>
      </w:r>
      <w:r>
        <w:rPr>
          <w:rFonts w:ascii="Arial" w:cs="Arial" w:eastAsia="Arial" w:hAnsi="Arial"/>
          <w:sz w:val="18"/>
          <w:szCs w:val="18"/>
          <w:b w:val="1"/>
          <w:bCs w:val="1"/>
          <w:u w:val="single" w:color="auto"/>
          <w:color w:val="auto"/>
        </w:rPr>
        <w:t>May Hold Securities</w:t>
      </w:r>
      <w:r>
        <w:rPr>
          <w:rFonts w:ascii="Arial" w:cs="Arial" w:eastAsia="Arial" w:hAnsi="Arial"/>
          <w:sz w:val="18"/>
          <w:szCs w:val="18"/>
          <w:color w:val="auto"/>
        </w:rPr>
        <w:t>. The Trustee, any Paying Agent, Security Registrar, Authenticating Agent or any other agent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0"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605. </w:t>
      </w:r>
      <w:r>
        <w:rPr>
          <w:rFonts w:ascii="Arial" w:cs="Arial" w:eastAsia="Arial" w:hAnsi="Arial"/>
          <w:sz w:val="18"/>
          <w:szCs w:val="18"/>
          <w:b w:val="1"/>
          <w:bCs w:val="1"/>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 The Trustee shall be under no liability for interest on any money received by it hereunder except as otherwise agreed in writing with the Company.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b w:val="1"/>
          <w:bCs w:val="1"/>
          <w:color w:val="auto"/>
        </w:rPr>
        <w:t xml:space="preserve">SECTION 606. </w:t>
      </w:r>
      <w:r>
        <w:rPr>
          <w:rFonts w:ascii="Arial" w:cs="Arial" w:eastAsia="Arial" w:hAnsi="Arial"/>
          <w:sz w:val="18"/>
          <w:szCs w:val="18"/>
          <w:b w:val="1"/>
          <w:bCs w:val="1"/>
          <w:u w:val="single" w:color="auto"/>
          <w:color w:val="auto"/>
        </w:rPr>
        <w:t>Compensation and Reimbursement</w:t>
      </w:r>
      <w:r>
        <w:rPr>
          <w:rFonts w:ascii="Arial" w:cs="Arial" w:eastAsia="Arial" w:hAnsi="Arial"/>
          <w:sz w:val="18"/>
          <w:szCs w:val="18"/>
          <w:color w:val="auto"/>
        </w:rPr>
        <w:t>. The Company agrees:</w:t>
      </w:r>
    </w:p>
    <w:p>
      <w:pPr>
        <w:spacing w:after="0" w:line="229" w:lineRule="exact"/>
        <w:rPr>
          <w:sz w:val="20"/>
          <w:szCs w:val="20"/>
          <w:color w:val="auto"/>
        </w:rPr>
      </w:pPr>
    </w:p>
    <w:p>
      <w:pPr>
        <w:ind w:right="220" w:firstLine="1304"/>
        <w:spacing w:after="0" w:line="308" w:lineRule="auto"/>
        <w:tabs>
          <w:tab w:leader="none" w:pos="1551"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46" w:lineRule="exact"/>
        <w:rPr>
          <w:rFonts w:ascii="Arial" w:cs="Arial" w:eastAsia="Arial" w:hAnsi="Arial"/>
          <w:sz w:val="17"/>
          <w:szCs w:val="17"/>
          <w:color w:val="auto"/>
        </w:rPr>
      </w:pPr>
    </w:p>
    <w:p>
      <w:pPr>
        <w:ind w:right="20" w:firstLine="1304"/>
        <w:spacing w:after="0" w:line="259" w:lineRule="auto"/>
        <w:tabs>
          <w:tab w:leader="none" w:pos="1551"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501(6) or Section 501(7),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SECTION 607. </w:t>
      </w:r>
      <w:r>
        <w:rPr>
          <w:rFonts w:ascii="Arial" w:cs="Arial" w:eastAsia="Arial" w:hAnsi="Arial"/>
          <w:sz w:val="16"/>
          <w:szCs w:val="16"/>
          <w:b w:val="1"/>
          <w:bCs w:val="1"/>
          <w:u w:val="single" w:color="auto"/>
          <w:color w:val="auto"/>
        </w:rPr>
        <w:t>Corporate Trustee Required; Eligibility; Conflicting Interests</w:t>
      </w:r>
      <w:r>
        <w:rPr>
          <w:rFonts w:ascii="Arial" w:cs="Arial" w:eastAsia="Arial" w:hAnsi="Arial"/>
          <w:sz w:val="16"/>
          <w:szCs w:val="16"/>
          <w:color w:val="auto"/>
        </w:rPr>
        <w:t>. There shall at all times be a Trustee hereunder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608. </w:t>
      </w:r>
      <w:r>
        <w:rPr>
          <w:rFonts w:ascii="Arial" w:cs="Arial" w:eastAsia="Arial" w:hAnsi="Arial"/>
          <w:sz w:val="18"/>
          <w:szCs w:val="18"/>
          <w:b w:val="1"/>
          <w:bCs w:val="1"/>
          <w:u w:val="single" w:color="auto"/>
          <w:color w:val="auto"/>
        </w:rPr>
        <w:t>Resignation and Removal; Appointment of Successor</w:t>
      </w:r>
      <w:r>
        <w:rPr>
          <w:rFonts w:ascii="Arial" w:cs="Arial" w:eastAsia="Arial" w:hAnsi="Arial"/>
          <w:sz w:val="18"/>
          <w:szCs w:val="18"/>
          <w:color w:val="auto"/>
        </w:rPr>
        <w:t>.</w:t>
      </w:r>
    </w:p>
    <w:p>
      <w:pPr>
        <w:spacing w:after="0" w:line="229" w:lineRule="exact"/>
        <w:rPr>
          <w:sz w:val="20"/>
          <w:szCs w:val="20"/>
          <w:color w:val="auto"/>
        </w:rPr>
      </w:pPr>
    </w:p>
    <w:p>
      <w:pPr>
        <w:ind w:right="260" w:firstLine="656"/>
        <w:spacing w:after="0" w:line="277" w:lineRule="auto"/>
        <w:tabs>
          <w:tab w:leader="none" w:pos="8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70" w:lineRule="exact"/>
        <w:rPr>
          <w:rFonts w:ascii="Arial" w:cs="Arial" w:eastAsia="Arial" w:hAnsi="Arial"/>
          <w:sz w:val="18"/>
          <w:szCs w:val="18"/>
          <w:color w:val="auto"/>
        </w:rPr>
      </w:pPr>
    </w:p>
    <w:p>
      <w:pPr>
        <w:jc w:val="both"/>
        <w:ind w:right="140" w:firstLine="656"/>
        <w:spacing w:after="0" w:line="311" w:lineRule="auto"/>
        <w:tabs>
          <w:tab w:leader="none" w:pos="90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0" w:name="page81"/>
    <w:bookmarkEnd w:id="80"/>
    <w:p>
      <w:pPr>
        <w:jc w:val="both"/>
        <w:ind w:right="80" w:firstLine="656"/>
        <w:spacing w:after="0" w:line="279" w:lineRule="auto"/>
        <w:tabs>
          <w:tab w:leader="none" w:pos="89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25" w:lineRule="exact"/>
        <w:rPr>
          <w:rFonts w:ascii="Arial" w:cs="Arial" w:eastAsia="Arial" w:hAnsi="Arial"/>
          <w:sz w:val="18"/>
          <w:szCs w:val="18"/>
          <w:color w:val="auto"/>
        </w:rPr>
      </w:pPr>
    </w:p>
    <w:p>
      <w:pPr>
        <w:ind w:right="280" w:firstLine="1304"/>
        <w:spacing w:after="0" w:line="277" w:lineRule="auto"/>
        <w:tabs>
          <w:tab w:leader="none" w:pos="1551"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ind w:firstLine="1304"/>
        <w:spacing w:after="0" w:line="277" w:lineRule="auto"/>
        <w:tabs>
          <w:tab w:leader="none" w:pos="1551"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1551"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firstLine="656"/>
        <w:spacing w:after="0" w:line="287" w:lineRule="auto"/>
        <w:tabs>
          <w:tab w:leader="none" w:pos="892"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1" w:lineRule="exact"/>
        <w:rPr>
          <w:rFonts w:ascii="Arial" w:cs="Arial" w:eastAsia="Arial" w:hAnsi="Arial"/>
          <w:sz w:val="16"/>
          <w:szCs w:val="16"/>
          <w:color w:val="auto"/>
        </w:rPr>
      </w:pPr>
    </w:p>
    <w:p>
      <w:pPr>
        <w:ind w:right="300" w:firstLine="656"/>
        <w:spacing w:after="0" w:line="291" w:lineRule="auto"/>
        <w:tabs>
          <w:tab w:leader="none" w:pos="873"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w:t>
      </w:r>
    </w:p>
    <w:p>
      <w:pPr>
        <w:ind w:left="360" w:hanging="352"/>
        <w:spacing w:after="0"/>
        <w:tabs>
          <w:tab w:leader="none" w:pos="3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notice shall include the name of the successor Trustee with respect to the Securities of such series and the address of its Corporate Trust Office.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1" w:name="page82"/>
    <w:bookmarkEnd w:id="81"/>
    <w:p>
      <w:pPr>
        <w:ind w:left="620"/>
        <w:spacing w:after="0"/>
        <w:rPr>
          <w:sz w:val="20"/>
          <w:szCs w:val="20"/>
          <w:color w:val="auto"/>
        </w:rPr>
      </w:pPr>
      <w:r>
        <w:rPr>
          <w:rFonts w:ascii="Arial" w:cs="Arial" w:eastAsia="Arial" w:hAnsi="Arial"/>
          <w:sz w:val="18"/>
          <w:szCs w:val="18"/>
          <w:b w:val="1"/>
          <w:bCs w:val="1"/>
          <w:color w:val="auto"/>
        </w:rPr>
        <w:t xml:space="preserve">SECTION 609. </w:t>
      </w:r>
      <w:r>
        <w:rPr>
          <w:rFonts w:ascii="Arial" w:cs="Arial" w:eastAsia="Arial" w:hAnsi="Arial"/>
          <w:sz w:val="18"/>
          <w:szCs w:val="18"/>
          <w:b w:val="1"/>
          <w:bCs w:val="1"/>
          <w:u w:val="single" w:color="auto"/>
          <w:color w:val="auto"/>
        </w:rPr>
        <w:t>Acceptance of Appointment by Successor</w:t>
      </w:r>
      <w:r>
        <w:rPr>
          <w:rFonts w:ascii="Arial" w:cs="Arial" w:eastAsia="Arial" w:hAnsi="Arial"/>
          <w:sz w:val="18"/>
          <w:szCs w:val="18"/>
          <w:color w:val="auto"/>
        </w:rPr>
        <w:t>.</w:t>
      </w:r>
    </w:p>
    <w:p>
      <w:pPr>
        <w:spacing w:after="0" w:line="229" w:lineRule="exact"/>
        <w:rPr>
          <w:sz w:val="20"/>
          <w:szCs w:val="20"/>
          <w:color w:val="auto"/>
        </w:rPr>
      </w:pPr>
    </w:p>
    <w:p>
      <w:pPr>
        <w:ind w:left="-40" w:right="40" w:firstLine="656"/>
        <w:spacing w:after="0" w:line="272" w:lineRule="auto"/>
        <w:tabs>
          <w:tab w:leader="none" w:pos="852"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77" w:lineRule="exact"/>
        <w:rPr>
          <w:rFonts w:ascii="Arial" w:cs="Arial" w:eastAsia="Arial" w:hAnsi="Arial"/>
          <w:sz w:val="17"/>
          <w:szCs w:val="17"/>
          <w:color w:val="auto"/>
        </w:rPr>
      </w:pPr>
    </w:p>
    <w:p>
      <w:pPr>
        <w:ind w:left="-40" w:firstLine="656"/>
        <w:spacing w:after="0" w:line="285" w:lineRule="auto"/>
        <w:tabs>
          <w:tab w:leader="none" w:pos="863"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6" w:lineRule="exact"/>
        <w:rPr>
          <w:rFonts w:ascii="Arial" w:cs="Arial" w:eastAsia="Arial" w:hAnsi="Arial"/>
          <w:sz w:val="16"/>
          <w:szCs w:val="16"/>
          <w:color w:val="auto"/>
        </w:rPr>
      </w:pPr>
    </w:p>
    <w:p>
      <w:pPr>
        <w:ind w:left="-40" w:right="300" w:firstLine="656"/>
        <w:spacing w:after="0" w:line="342" w:lineRule="auto"/>
        <w:tabs>
          <w:tab w:leader="none" w:pos="8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23" w:lineRule="exact"/>
        <w:rPr>
          <w:rFonts w:ascii="Arial" w:cs="Arial" w:eastAsia="Arial" w:hAnsi="Arial"/>
          <w:sz w:val="16"/>
          <w:szCs w:val="16"/>
          <w:color w:val="auto"/>
        </w:rPr>
      </w:pPr>
    </w:p>
    <w:p>
      <w:pPr>
        <w:ind w:left="-40" w:right="140" w:firstLine="656"/>
        <w:spacing w:after="0" w:line="277" w:lineRule="auto"/>
        <w:tabs>
          <w:tab w:leader="none" w:pos="8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82" w:name="page83"/>
    <w:bookmarkEnd w:id="82"/>
    <w:p>
      <w:pPr>
        <w:ind w:right="100" w:firstLine="648"/>
        <w:spacing w:after="0" w:line="289" w:lineRule="auto"/>
        <w:rPr>
          <w:sz w:val="20"/>
          <w:szCs w:val="20"/>
          <w:color w:val="auto"/>
        </w:rPr>
      </w:pPr>
      <w:r>
        <w:rPr>
          <w:rFonts w:ascii="Arial" w:cs="Arial" w:eastAsia="Arial" w:hAnsi="Arial"/>
          <w:sz w:val="16"/>
          <w:szCs w:val="16"/>
          <w:b w:val="1"/>
          <w:bCs w:val="1"/>
          <w:color w:val="auto"/>
        </w:rPr>
        <w:t xml:space="preserve">SECTION 610. </w:t>
      </w:r>
      <w:r>
        <w:rPr>
          <w:rFonts w:ascii="Arial" w:cs="Arial" w:eastAsia="Arial" w:hAnsi="Arial"/>
          <w:sz w:val="16"/>
          <w:szCs w:val="16"/>
          <w:b w:val="1"/>
          <w:bCs w:val="1"/>
          <w:u w:val="single" w:color="auto"/>
          <w:color w:val="auto"/>
        </w:rPr>
        <w:t>Merger, Conversion, Consolidation or Succession to Business</w:t>
      </w:r>
      <w:r>
        <w:rPr>
          <w:rFonts w:ascii="Arial" w:cs="Arial" w:eastAsia="Arial" w:hAnsi="Arial"/>
          <w:sz w:val="16"/>
          <w:szCs w:val="16"/>
          <w:color w:val="auto"/>
        </w:rPr>
        <w:t>. Any corporation into which the Trustee may be merged or</w:t>
      </w:r>
      <w:r>
        <w:rPr>
          <w:rFonts w:ascii="Arial" w:cs="Arial" w:eastAsia="Arial" w:hAnsi="Arial"/>
          <w:sz w:val="16"/>
          <w:szCs w:val="16"/>
          <w:b w:val="1"/>
          <w:bCs w:val="1"/>
          <w:color w:val="auto"/>
        </w:rPr>
        <w:t xml:space="preserve"> </w:t>
      </w:r>
      <w:r>
        <w:rPr>
          <w:rFonts w:ascii="Arial" w:cs="Arial" w:eastAsia="Arial" w:hAnsi="Arial"/>
          <w:sz w:val="16"/>
          <w:szCs w:val="16"/>
          <w:color w:val="auto"/>
        </w:rPr>
        <w:t>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611. </w:t>
      </w:r>
      <w:r>
        <w:rPr>
          <w:rFonts w:ascii="Arial" w:cs="Arial" w:eastAsia="Arial" w:hAnsi="Arial"/>
          <w:sz w:val="16"/>
          <w:szCs w:val="16"/>
          <w:b w:val="1"/>
          <w:bCs w:val="1"/>
          <w:u w:val="single" w:color="auto"/>
          <w:color w:val="auto"/>
        </w:rPr>
        <w:t>Appointment of Authenticating Agent</w:t>
      </w:r>
      <w:r>
        <w:rPr>
          <w:rFonts w:ascii="Arial" w:cs="Arial" w:eastAsia="Arial" w:hAnsi="Arial"/>
          <w:sz w:val="16"/>
          <w:szCs w:val="16"/>
          <w:color w:val="auto"/>
        </w:rPr>
        <w:t>. At any time when any of the Securities remain Outstanding, the Trustee may appoint an</w:t>
      </w:r>
      <w:r>
        <w:rPr>
          <w:rFonts w:ascii="Arial" w:cs="Arial" w:eastAsia="Arial" w:hAnsi="Arial"/>
          <w:sz w:val="16"/>
          <w:szCs w:val="16"/>
          <w:b w:val="1"/>
          <w:bCs w:val="1"/>
          <w:color w:val="auto"/>
        </w:rPr>
        <w:t xml:space="preserve"> </w:t>
      </w:r>
      <w:r>
        <w:rPr>
          <w:rFonts w:ascii="Arial" w:cs="Arial" w:eastAsia="Arial" w:hAnsi="Arial"/>
          <w:sz w:val="16"/>
          <w:szCs w:val="16"/>
          <w:color w:val="auto"/>
        </w:rPr>
        <w:t>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71"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5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right="80" w:firstLine="648"/>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NAME OF TRUSTEE</w:t>
      </w:r>
      <w:r>
        <w:rPr>
          <w:rFonts w:ascii="Arial" w:cs="Arial" w:eastAsia="Arial" w:hAnsi="Arial"/>
          <w:sz w:val="18"/>
          <w:szCs w:val="18"/>
          <w:color w:val="auto"/>
        </w:rPr>
        <w:t>] as Trustee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_________________________________</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as Authenticating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-1905</wp:posOffset>
            </wp:positionV>
            <wp:extent cx="24942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_________________________________</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as Authenticating Agent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612. </w:t>
      </w:r>
      <w:r>
        <w:rPr>
          <w:rFonts w:ascii="Arial" w:cs="Arial" w:eastAsia="Arial" w:hAnsi="Arial"/>
          <w:sz w:val="18"/>
          <w:szCs w:val="18"/>
          <w:b w:val="1"/>
          <w:bCs w:val="1"/>
          <w:u w:val="single" w:color="auto"/>
          <w:color w:val="auto"/>
        </w:rPr>
        <w:t>Certain Duties and Responsibilities of the Trustee</w:t>
      </w:r>
      <w:r>
        <w:rPr>
          <w:rFonts w:ascii="Arial" w:cs="Arial" w:eastAsia="Arial" w:hAnsi="Arial"/>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With respect to the Securities of any series, except during the continuance of an Event of Default with respect to the Securities of such series:</w:t>
      </w:r>
    </w:p>
    <w:p>
      <w:pPr>
        <w:spacing w:after="0" w:line="248" w:lineRule="exact"/>
        <w:rPr>
          <w:rFonts w:ascii="Arial" w:cs="Arial" w:eastAsia="Arial" w:hAnsi="Arial"/>
          <w:sz w:val="16"/>
          <w:szCs w:val="16"/>
          <w:color w:val="auto"/>
        </w:rPr>
      </w:pPr>
    </w:p>
    <w:p>
      <w:pPr>
        <w:ind w:right="440" w:firstLine="1304"/>
        <w:spacing w:after="0" w:line="277" w:lineRule="auto"/>
        <w:tabs>
          <w:tab w:leader="none" w:pos="1551"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70" w:lineRule="exact"/>
        <w:rPr>
          <w:rFonts w:ascii="Arial" w:cs="Arial" w:eastAsia="Arial" w:hAnsi="Arial"/>
          <w:sz w:val="18"/>
          <w:szCs w:val="18"/>
          <w:color w:val="auto"/>
        </w:rPr>
      </w:pPr>
    </w:p>
    <w:p>
      <w:pPr>
        <w:jc w:val="both"/>
        <w:ind w:right="20" w:firstLine="1304"/>
        <w:spacing w:after="0" w:line="257" w:lineRule="auto"/>
        <w:tabs>
          <w:tab w:leader="none" w:pos="1551"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7" w:lineRule="exact"/>
        <w:rPr>
          <w:rFonts w:ascii="Arial" w:cs="Arial" w:eastAsia="Arial" w:hAnsi="Arial"/>
          <w:sz w:val="18"/>
          <w:szCs w:val="18"/>
          <w:color w:val="auto"/>
        </w:rPr>
      </w:pPr>
    </w:p>
    <w:p>
      <w:pPr>
        <w:ind w:firstLine="656"/>
        <w:spacing w:after="0" w:line="263" w:lineRule="auto"/>
        <w:tabs>
          <w:tab w:leader="none" w:pos="9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84" w:name="page85"/>
    <w:bookmarkEnd w:id="84"/>
    <w:p>
      <w:pPr>
        <w:ind w:right="140" w:firstLine="656"/>
        <w:spacing w:after="0" w:line="277" w:lineRule="auto"/>
        <w:tabs>
          <w:tab w:leader="none" w:pos="8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225" w:lineRule="exact"/>
        <w:rPr>
          <w:rFonts w:ascii="Arial" w:cs="Arial" w:eastAsia="Arial" w:hAnsi="Arial"/>
          <w:sz w:val="18"/>
          <w:szCs w:val="18"/>
          <w:color w:val="auto"/>
        </w:rPr>
      </w:pPr>
    </w:p>
    <w:p>
      <w:pPr>
        <w:ind w:firstLine="1304"/>
        <w:spacing w:after="0" w:line="277" w:lineRule="auto"/>
        <w:tabs>
          <w:tab w:leader="none" w:pos="1551"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70" w:lineRule="exact"/>
        <w:rPr>
          <w:rFonts w:ascii="Arial" w:cs="Arial" w:eastAsia="Arial" w:hAnsi="Arial"/>
          <w:sz w:val="18"/>
          <w:szCs w:val="18"/>
          <w:color w:val="auto"/>
        </w:rPr>
      </w:pPr>
    </w:p>
    <w:p>
      <w:pPr>
        <w:ind w:right="120" w:firstLine="1304"/>
        <w:spacing w:after="0" w:line="259" w:lineRule="auto"/>
        <w:tabs>
          <w:tab w:leader="none" w:pos="1551"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86" w:lineRule="exact"/>
        <w:rPr>
          <w:rFonts w:ascii="Arial" w:cs="Arial" w:eastAsia="Arial" w:hAnsi="Arial"/>
          <w:sz w:val="18"/>
          <w:szCs w:val="18"/>
          <w:color w:val="auto"/>
        </w:rPr>
      </w:pPr>
    </w:p>
    <w:p>
      <w:pPr>
        <w:ind w:right="40" w:firstLine="1304"/>
        <w:spacing w:after="0" w:line="257" w:lineRule="auto"/>
        <w:tabs>
          <w:tab w:leader="none" w:pos="1551"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87" w:lineRule="exact"/>
        <w:rPr>
          <w:rFonts w:ascii="Arial" w:cs="Arial" w:eastAsia="Arial" w:hAnsi="Arial"/>
          <w:sz w:val="18"/>
          <w:szCs w:val="18"/>
          <w:color w:val="auto"/>
        </w:rPr>
      </w:pPr>
    </w:p>
    <w:p>
      <w:pPr>
        <w:ind w:right="60" w:firstLine="656"/>
        <w:spacing w:after="0" w:line="277" w:lineRule="auto"/>
        <w:tabs>
          <w:tab w:leader="none" w:pos="903"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70" w:lineRule="exact"/>
        <w:rPr>
          <w:rFonts w:ascii="Arial" w:cs="Arial" w:eastAsia="Arial" w:hAnsi="Arial"/>
          <w:sz w:val="18"/>
          <w:szCs w:val="18"/>
          <w:color w:val="auto"/>
        </w:rPr>
      </w:pPr>
    </w:p>
    <w:p>
      <w:pPr>
        <w:ind w:right="360" w:firstLine="656"/>
        <w:spacing w:after="0" w:line="308" w:lineRule="auto"/>
        <w:tabs>
          <w:tab w:leader="none" w:pos="89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07"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SECTION 701. </w:t>
      </w:r>
      <w:r>
        <w:rPr>
          <w:rFonts w:ascii="Arial" w:cs="Arial" w:eastAsia="Arial" w:hAnsi="Arial"/>
          <w:sz w:val="17"/>
          <w:szCs w:val="17"/>
          <w:b w:val="1"/>
          <w:bCs w:val="1"/>
          <w:u w:val="single" w:color="auto"/>
          <w:color w:val="auto"/>
        </w:rPr>
        <w:t>Disclosure of Names and Addresses of Holders</w:t>
      </w:r>
      <w:r>
        <w:rPr>
          <w:rFonts w:ascii="Arial" w:cs="Arial" w:eastAsia="Arial" w:hAnsi="Arial"/>
          <w:sz w:val="17"/>
          <w:szCs w:val="17"/>
          <w:color w:val="auto"/>
        </w:rPr>
        <w:t>. Every Holder of Securities or coupons, by receiving and holding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68"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b w:val="1"/>
          <w:bCs w:val="1"/>
          <w:color w:val="auto"/>
        </w:rPr>
        <w:t xml:space="preserve">SECTION 702. </w:t>
      </w:r>
      <w:r>
        <w:rPr>
          <w:rFonts w:ascii="Arial" w:cs="Arial" w:eastAsia="Arial" w:hAnsi="Arial"/>
          <w:sz w:val="16"/>
          <w:szCs w:val="16"/>
          <w:b w:val="1"/>
          <w:bCs w:val="1"/>
          <w:u w:val="single" w:color="auto"/>
          <w:color w:val="auto"/>
        </w:rPr>
        <w:t>Reports by Trustee</w:t>
      </w:r>
      <w:r>
        <w:rPr>
          <w:rFonts w:ascii="Arial" w:cs="Arial" w:eastAsia="Arial" w:hAnsi="Arial"/>
          <w:sz w:val="16"/>
          <w:szCs w:val="16"/>
          <w:color w:val="auto"/>
        </w:rPr>
        <w:t>. The Trustee shall transmit to Holders such reports concerning the Trustee and its actions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as may be required by TIA Section 313 at the times and in the manner provided by the TIA, which shall initially be not less than every twelve months commencing on , 20___.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b w:val="1"/>
          <w:bCs w:val="1"/>
          <w:color w:val="auto"/>
        </w:rPr>
        <w:t xml:space="preserve">SECTION 703. </w:t>
      </w:r>
      <w:r>
        <w:rPr>
          <w:rFonts w:ascii="Arial" w:cs="Arial" w:eastAsia="Arial" w:hAnsi="Arial"/>
          <w:sz w:val="18"/>
          <w:szCs w:val="18"/>
          <w:b w:val="1"/>
          <w:bCs w:val="1"/>
          <w:u w:val="single" w:color="auto"/>
          <w:color w:val="auto"/>
        </w:rPr>
        <w:t>Reports by Company</w:t>
      </w:r>
      <w:r>
        <w:rPr>
          <w:rFonts w:ascii="Arial" w:cs="Arial" w:eastAsia="Arial" w:hAnsi="Arial"/>
          <w:sz w:val="18"/>
          <w:szCs w:val="18"/>
          <w:color w:val="auto"/>
        </w:rPr>
        <w:t>. The Company will:</w:t>
      </w:r>
    </w:p>
    <w:p>
      <w:pPr>
        <w:spacing w:after="0" w:line="229" w:lineRule="exact"/>
        <w:rPr>
          <w:sz w:val="20"/>
          <w:szCs w:val="20"/>
          <w:color w:val="auto"/>
        </w:rPr>
      </w:pPr>
    </w:p>
    <w:p>
      <w:pPr>
        <w:ind w:right="60" w:firstLine="1304"/>
        <w:spacing w:after="0" w:line="290" w:lineRule="auto"/>
        <w:tabs>
          <w:tab w:leader="none" w:pos="1551" w:val="left"/>
        </w:tabs>
        <w:numPr>
          <w:ilvl w:val="0"/>
          <w:numId w:val="75"/>
        </w:numPr>
        <w:rPr>
          <w:rFonts w:ascii="Arial" w:cs="Arial" w:eastAsia="Arial" w:hAnsi="Arial"/>
          <w:sz w:val="16"/>
          <w:szCs w:val="16"/>
          <w:color w:val="auto"/>
        </w:rPr>
      </w:pPr>
      <w:r>
        <w:rPr>
          <w:rFonts w:ascii="Arial" w:cs="Arial" w:eastAsia="Arial" w:hAnsi="Arial"/>
          <w:sz w:val="16"/>
          <w:szCs w:val="16"/>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65" w:lineRule="exact"/>
        <w:rPr>
          <w:rFonts w:ascii="Arial" w:cs="Arial" w:eastAsia="Arial" w:hAnsi="Arial"/>
          <w:sz w:val="16"/>
          <w:szCs w:val="16"/>
          <w:color w:val="auto"/>
        </w:rPr>
      </w:pPr>
    </w:p>
    <w:p>
      <w:pPr>
        <w:ind w:right="20" w:firstLine="1304"/>
        <w:spacing w:after="0" w:line="263" w:lineRule="auto"/>
        <w:tabs>
          <w:tab w:leader="none" w:pos="1551"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83" w:lineRule="exact"/>
        <w:rPr>
          <w:rFonts w:ascii="Arial" w:cs="Arial" w:eastAsia="Arial" w:hAnsi="Arial"/>
          <w:sz w:val="18"/>
          <w:szCs w:val="18"/>
          <w:color w:val="auto"/>
        </w:rPr>
      </w:pPr>
    </w:p>
    <w:p>
      <w:pPr>
        <w:ind w:firstLine="1304"/>
        <w:spacing w:after="0" w:line="286" w:lineRule="auto"/>
        <w:tabs>
          <w:tab w:leader="none" w:pos="1551" w:val="left"/>
        </w:tabs>
        <w:numPr>
          <w:ilvl w:val="0"/>
          <w:numId w:val="75"/>
        </w:numPr>
        <w:rPr>
          <w:rFonts w:ascii="Arial" w:cs="Arial" w:eastAsia="Arial" w:hAnsi="Arial"/>
          <w:sz w:val="17"/>
          <w:szCs w:val="17"/>
          <w:color w:val="auto"/>
        </w:rPr>
      </w:pPr>
      <w:r>
        <w:rPr>
          <w:rFonts w:ascii="Arial" w:cs="Arial" w:eastAsia="Arial" w:hAnsi="Arial"/>
          <w:sz w:val="17"/>
          <w:szCs w:val="17"/>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65" w:lineRule="exact"/>
        <w:rPr>
          <w:rFonts w:ascii="Arial" w:cs="Arial" w:eastAsia="Arial" w:hAnsi="Arial"/>
          <w:sz w:val="17"/>
          <w:szCs w:val="17"/>
          <w:color w:val="auto"/>
        </w:rPr>
      </w:pPr>
    </w:p>
    <w:p>
      <w:pPr>
        <w:ind w:firstLine="1304"/>
        <w:spacing w:after="0" w:line="286" w:lineRule="auto"/>
        <w:tabs>
          <w:tab w:leader="none" w:pos="1551"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704. </w:t>
      </w:r>
      <w:r>
        <w:rPr>
          <w:rFonts w:ascii="Arial" w:cs="Arial" w:eastAsia="Arial" w:hAnsi="Arial"/>
          <w:sz w:val="16"/>
          <w:szCs w:val="16"/>
          <w:b w:val="1"/>
          <w:bCs w:val="1"/>
          <w:u w:val="single" w:color="auto"/>
          <w:color w:val="auto"/>
        </w:rPr>
        <w:t>Company to Furnish Trustee Names and Addresses of Holders</w:t>
      </w:r>
      <w:r>
        <w:rPr>
          <w:rFonts w:ascii="Arial" w:cs="Arial" w:eastAsia="Arial" w:hAnsi="Arial"/>
          <w:sz w:val="16"/>
          <w:szCs w:val="16"/>
          <w:color w:val="auto"/>
        </w:rPr>
        <w:t>. The Company will furnish or cause to be furnished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100" w:firstLine="656"/>
        <w:spacing w:after="0" w:line="259" w:lineRule="auto"/>
        <w:tabs>
          <w:tab w:leader="none" w:pos="8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6" w:lineRule="exact"/>
        <w:rPr>
          <w:rFonts w:ascii="Arial" w:cs="Arial" w:eastAsia="Arial" w:hAnsi="Arial"/>
          <w:sz w:val="18"/>
          <w:szCs w:val="18"/>
          <w:color w:val="auto"/>
        </w:rPr>
      </w:pPr>
    </w:p>
    <w:p>
      <w:pPr>
        <w:ind w:right="80" w:firstLine="656"/>
        <w:spacing w:after="0" w:line="277" w:lineRule="auto"/>
        <w:tabs>
          <w:tab w:leader="none" w:pos="9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so long as the Trustee is the Security Registrar, no such list shall be required to be furnished.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SALE, LEASE OR CONVEYANCE</w:t>
      </w:r>
    </w:p>
    <w:p>
      <w:pPr>
        <w:spacing w:after="0" w:line="20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801. </w:t>
      </w:r>
      <w:r>
        <w:rPr>
          <w:rFonts w:ascii="Arial" w:cs="Arial" w:eastAsia="Arial" w:hAnsi="Arial"/>
          <w:sz w:val="17"/>
          <w:szCs w:val="17"/>
          <w:b w:val="1"/>
          <w:bCs w:val="1"/>
          <w:u w:val="single" w:color="auto"/>
          <w:color w:val="auto"/>
        </w:rPr>
        <w:t>Consolidations and Mergers of Company and Sales, Leases and Conveyances Permitted Subject to Certain Conditions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8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802. </w:t>
      </w:r>
      <w:r>
        <w:rPr>
          <w:rFonts w:ascii="Arial" w:cs="Arial" w:eastAsia="Arial" w:hAnsi="Arial"/>
          <w:sz w:val="17"/>
          <w:szCs w:val="17"/>
          <w:b w:val="1"/>
          <w:bCs w:val="1"/>
          <w:u w:val="single" w:color="auto"/>
          <w:color w:val="auto"/>
        </w:rPr>
        <w:t>Rights and Duties of Successor Corporation</w:t>
      </w:r>
      <w:r>
        <w:rPr>
          <w:rFonts w:ascii="Arial" w:cs="Arial" w:eastAsia="Arial" w:hAnsi="Arial"/>
          <w:sz w:val="17"/>
          <w:szCs w:val="17"/>
          <w:color w:val="auto"/>
        </w:rPr>
        <w:t>. In case of any such consolidation, merger, sale, lease or conveyance and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8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66" w:lineRule="exact"/>
        <w:rPr>
          <w:sz w:val="20"/>
          <w:szCs w:val="20"/>
          <w:color w:val="auto"/>
        </w:rPr>
      </w:pPr>
    </w:p>
    <w:p>
      <w:pPr>
        <w:jc w:val="both"/>
        <w:ind w:right="260" w:firstLine="648"/>
        <w:spacing w:after="0" w:line="261" w:lineRule="auto"/>
        <w:rPr>
          <w:sz w:val="20"/>
          <w:szCs w:val="20"/>
          <w:color w:val="auto"/>
        </w:rPr>
      </w:pPr>
      <w:r>
        <w:rPr>
          <w:rFonts w:ascii="Arial" w:cs="Arial" w:eastAsia="Arial" w:hAnsi="Arial"/>
          <w:sz w:val="18"/>
          <w:szCs w:val="18"/>
          <w:b w:val="1"/>
          <w:bCs w:val="1"/>
          <w:color w:val="auto"/>
        </w:rPr>
        <w:t xml:space="preserve">SECTION 803. </w:t>
      </w:r>
      <w:r>
        <w:rPr>
          <w:rFonts w:ascii="Arial" w:cs="Arial" w:eastAsia="Arial" w:hAnsi="Arial"/>
          <w:sz w:val="18"/>
          <w:szCs w:val="18"/>
          <w:b w:val="1"/>
          <w:bCs w:val="1"/>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INDENTURES</w:t>
      </w:r>
    </w:p>
    <w:p>
      <w:pPr>
        <w:spacing w:after="0" w:line="20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SECTION 901. </w:t>
      </w:r>
      <w:r>
        <w:rPr>
          <w:rFonts w:ascii="Arial" w:cs="Arial" w:eastAsia="Arial" w:hAnsi="Arial"/>
          <w:sz w:val="18"/>
          <w:szCs w:val="18"/>
          <w:b w:val="1"/>
          <w:bCs w:val="1"/>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when authorized by or pursuant to a Board Resolution, and the Trustee, at any time and from time to time, may enter into one or more indentures supplemental hereto, in form satisfactory to the Trustee, for any of the following purposes:</w:t>
      </w:r>
    </w:p>
    <w:p>
      <w:pPr>
        <w:spacing w:after="0" w:line="180" w:lineRule="exact"/>
        <w:rPr>
          <w:sz w:val="20"/>
          <w:szCs w:val="20"/>
          <w:color w:val="auto"/>
        </w:rPr>
      </w:pPr>
    </w:p>
    <w:p>
      <w:pPr>
        <w:ind w:right="500" w:firstLine="1304"/>
        <w:spacing w:after="0" w:line="277" w:lineRule="auto"/>
        <w:tabs>
          <w:tab w:leader="none" w:pos="155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170" w:lineRule="exact"/>
        <w:rPr>
          <w:rFonts w:ascii="Arial" w:cs="Arial" w:eastAsia="Arial" w:hAnsi="Arial"/>
          <w:sz w:val="18"/>
          <w:szCs w:val="18"/>
          <w:color w:val="auto"/>
        </w:rPr>
      </w:pPr>
    </w:p>
    <w:p>
      <w:pPr>
        <w:ind w:right="20" w:firstLine="1304"/>
        <w:spacing w:after="0" w:line="263" w:lineRule="auto"/>
        <w:tabs>
          <w:tab w:leader="none" w:pos="155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3" w:lineRule="exact"/>
        <w:rPr>
          <w:rFonts w:ascii="Arial" w:cs="Arial" w:eastAsia="Arial" w:hAnsi="Arial"/>
          <w:sz w:val="18"/>
          <w:szCs w:val="18"/>
          <w:color w:val="auto"/>
        </w:rPr>
      </w:pPr>
    </w:p>
    <w:p>
      <w:pPr>
        <w:ind w:right="160" w:firstLine="1304"/>
        <w:spacing w:after="0" w:line="293" w:lineRule="auto"/>
        <w:tabs>
          <w:tab w:leader="none" w:pos="155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provided, however,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64" w:lineRule="exact"/>
        <w:rPr>
          <w:rFonts w:ascii="Arial" w:cs="Arial" w:eastAsia="Arial" w:hAnsi="Arial"/>
          <w:sz w:val="16"/>
          <w:szCs w:val="16"/>
          <w:color w:val="auto"/>
        </w:rPr>
      </w:pPr>
    </w:p>
    <w:p>
      <w:pPr>
        <w:ind w:right="40" w:firstLine="1304"/>
        <w:spacing w:after="0" w:line="275" w:lineRule="auto"/>
        <w:tabs>
          <w:tab w:leader="none" w:pos="155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176" w:lineRule="exact"/>
        <w:rPr>
          <w:rFonts w:ascii="Arial" w:cs="Arial" w:eastAsia="Arial" w:hAnsi="Arial"/>
          <w:sz w:val="17"/>
          <w:szCs w:val="17"/>
          <w:color w:val="auto"/>
        </w:rPr>
      </w:pPr>
    </w:p>
    <w:p>
      <w:pPr>
        <w:jc w:val="both"/>
        <w:ind w:right="260" w:firstLine="1304"/>
        <w:spacing w:after="0" w:line="263" w:lineRule="auto"/>
        <w:tabs>
          <w:tab w:leader="none" w:pos="155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such provision; or</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establish the form or terms of Securities of any series and any related coupons as permitted or contemplated by Sections 201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301; or</w:t>
      </w:r>
    </w:p>
    <w:p>
      <w:pPr>
        <w:spacing w:after="0" w:line="210" w:lineRule="exact"/>
        <w:rPr>
          <w:rFonts w:ascii="Arial" w:cs="Arial" w:eastAsia="Arial" w:hAnsi="Arial"/>
          <w:sz w:val="16"/>
          <w:szCs w:val="16"/>
          <w:color w:val="auto"/>
        </w:rPr>
      </w:pPr>
    </w:p>
    <w:p>
      <w:pPr>
        <w:jc w:val="both"/>
        <w:ind w:right="180" w:firstLine="1304"/>
        <w:spacing w:after="0" w:line="263" w:lineRule="auto"/>
        <w:tabs>
          <w:tab w:leader="none" w:pos="155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3" w:lineRule="exact"/>
        <w:rPr>
          <w:rFonts w:ascii="Arial" w:cs="Arial" w:eastAsia="Arial" w:hAnsi="Arial"/>
          <w:sz w:val="18"/>
          <w:szCs w:val="18"/>
          <w:color w:val="auto"/>
        </w:rPr>
      </w:pPr>
    </w:p>
    <w:p>
      <w:pPr>
        <w:jc w:val="both"/>
        <w:ind w:right="60" w:firstLine="1304"/>
        <w:spacing w:after="0" w:line="259" w:lineRule="auto"/>
        <w:tabs>
          <w:tab w:leader="none" w:pos="155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provided such provisions shall not adversely affect the interests of the Holders of Securities of any series or any related coupons in any material respect; or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8" w:name="page89"/>
    <w:bookmarkEnd w:id="88"/>
    <w:p>
      <w:pPr>
        <w:jc w:val="both"/>
        <w:ind w:right="180" w:firstLine="1304"/>
        <w:spacing w:after="0" w:line="286" w:lineRule="auto"/>
        <w:tabs>
          <w:tab w:leader="none" w:pos="164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and any related coupons or any other series of Securities in any material respect; or</w:t>
      </w:r>
    </w:p>
    <w:p>
      <w:pPr>
        <w:spacing w:after="0" w:line="165" w:lineRule="exact"/>
        <w:rPr>
          <w:rFonts w:ascii="Arial" w:cs="Arial" w:eastAsia="Arial" w:hAnsi="Arial"/>
          <w:sz w:val="17"/>
          <w:szCs w:val="17"/>
          <w:color w:val="auto"/>
        </w:rPr>
      </w:pPr>
    </w:p>
    <w:p>
      <w:pPr>
        <w:ind w:left="1640" w:hanging="336"/>
        <w:spacing w:after="0"/>
        <w:tabs>
          <w:tab w:leader="none" w:pos="1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make provisions with respect to Holders’ rights of conversion with respect to any series of Securities pursuant to Article Sixteen.</w:t>
      </w:r>
    </w:p>
    <w:p>
      <w:pPr>
        <w:spacing w:after="0" w:line="244"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b w:val="1"/>
          <w:bCs w:val="1"/>
          <w:color w:val="auto"/>
        </w:rPr>
        <w:t xml:space="preserve">SECTION 902. </w:t>
      </w:r>
      <w:r>
        <w:rPr>
          <w:rFonts w:ascii="Arial" w:cs="Arial" w:eastAsia="Arial" w:hAnsi="Arial"/>
          <w:sz w:val="17"/>
          <w:szCs w:val="17"/>
          <w:b w:val="1"/>
          <w:bCs w:val="1"/>
          <w:u w:val="single" w:color="auto"/>
          <w:color w:val="auto"/>
        </w:rPr>
        <w:t>Supplemental Indentures with Consent of Holders</w:t>
      </w:r>
      <w:r>
        <w:rPr>
          <w:rFonts w:ascii="Arial" w:cs="Arial" w:eastAsia="Arial" w:hAnsi="Arial"/>
          <w:sz w:val="17"/>
          <w:szCs w:val="17"/>
          <w:color w:val="auto"/>
        </w:rPr>
        <w:t>. With the consent of the Holders of not less than a majority in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provided, however, that no such supplemental indenture shall, without the consent of the Holder of each Outstanding Security affected thereby:</w:t>
      </w:r>
    </w:p>
    <w:p>
      <w:pPr>
        <w:spacing w:after="0" w:line="177" w:lineRule="exact"/>
        <w:rPr>
          <w:sz w:val="20"/>
          <w:szCs w:val="20"/>
          <w:color w:val="auto"/>
        </w:rPr>
      </w:pPr>
    </w:p>
    <w:p>
      <w:pPr>
        <w:ind w:firstLine="1304"/>
        <w:spacing w:after="0" w:line="270" w:lineRule="auto"/>
        <w:tabs>
          <w:tab w:leader="none" w:pos="1551" w:val="left"/>
        </w:tabs>
        <w:numPr>
          <w:ilvl w:val="0"/>
          <w:numId w:val="79"/>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180" w:lineRule="exact"/>
        <w:rPr>
          <w:rFonts w:ascii="Arial" w:cs="Arial" w:eastAsia="Arial" w:hAnsi="Arial"/>
          <w:sz w:val="17"/>
          <w:szCs w:val="17"/>
          <w:color w:val="auto"/>
        </w:rPr>
      </w:pPr>
    </w:p>
    <w:p>
      <w:pPr>
        <w:ind w:firstLine="1304"/>
        <w:spacing w:after="0" w:line="259" w:lineRule="auto"/>
        <w:tabs>
          <w:tab w:leader="none" w:pos="1551"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86" w:lineRule="exact"/>
        <w:rPr>
          <w:rFonts w:ascii="Arial" w:cs="Arial" w:eastAsia="Arial" w:hAnsi="Arial"/>
          <w:sz w:val="18"/>
          <w:szCs w:val="18"/>
          <w:color w:val="auto"/>
        </w:rPr>
      </w:pPr>
    </w:p>
    <w:p>
      <w:pPr>
        <w:ind w:right="260" w:firstLine="1304"/>
        <w:spacing w:after="0" w:line="257" w:lineRule="auto"/>
        <w:tabs>
          <w:tab w:leader="none" w:pos="1551"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right="60"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4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b w:val="1"/>
          <w:bCs w:val="1"/>
          <w:color w:val="auto"/>
        </w:rPr>
        <w:t xml:space="preserve">SECTION 903. </w:t>
      </w:r>
      <w:r>
        <w:rPr>
          <w:rFonts w:ascii="Arial" w:cs="Arial" w:eastAsia="Arial" w:hAnsi="Arial"/>
          <w:sz w:val="16"/>
          <w:szCs w:val="16"/>
          <w:b w:val="1"/>
          <w:bCs w:val="1"/>
          <w:u w:val="single" w:color="auto"/>
          <w:color w:val="auto"/>
        </w:rPr>
        <w:t>Execution of Supplemental Indentures</w:t>
      </w:r>
      <w:r>
        <w:rPr>
          <w:rFonts w:ascii="Arial" w:cs="Arial" w:eastAsia="Arial" w:hAnsi="Arial"/>
          <w:sz w:val="16"/>
          <w:szCs w:val="16"/>
          <w:color w:val="auto"/>
        </w:rPr>
        <w:t>. In executing, or accepting the additional trusts created by, any supplemental indenture</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this Article or the modification thereby of the trusts created by this Indenture, the Trustee shall be entitled to receive, and (subject to Section</w:t>
      </w:r>
    </w:p>
    <w:p>
      <w:pPr>
        <w:spacing w:after="0" w:line="1" w:lineRule="exact"/>
        <w:rPr>
          <w:sz w:val="20"/>
          <w:szCs w:val="20"/>
          <w:color w:val="auto"/>
        </w:rPr>
      </w:pPr>
    </w:p>
    <w:p>
      <w:pPr>
        <w:ind w:right="60" w:firstLine="8"/>
        <w:spacing w:after="0" w:line="255" w:lineRule="auto"/>
        <w:tabs>
          <w:tab w:leader="none" w:pos="3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6"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 xml:space="preserve">SECTION 904. </w:t>
      </w:r>
      <w:r>
        <w:rPr>
          <w:rFonts w:ascii="Arial" w:cs="Arial" w:eastAsia="Arial" w:hAnsi="Arial"/>
          <w:sz w:val="17"/>
          <w:szCs w:val="17"/>
          <w:b w:val="1"/>
          <w:bCs w:val="1"/>
          <w:u w:val="single" w:color="auto"/>
          <w:color w:val="auto"/>
        </w:rPr>
        <w:t>Effect of Supplemental Indentures</w:t>
      </w:r>
      <w:r>
        <w:rPr>
          <w:rFonts w:ascii="Arial" w:cs="Arial" w:eastAsia="Arial" w:hAnsi="Arial"/>
          <w:sz w:val="17"/>
          <w:szCs w:val="17"/>
          <w:color w:val="auto"/>
        </w:rPr>
        <w:t>. Upon the execution of any supplemental indenture under this Article, this Indenture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58"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SECTION 905. </w:t>
      </w:r>
      <w:r>
        <w:rPr>
          <w:rFonts w:ascii="Arial" w:cs="Arial" w:eastAsia="Arial" w:hAnsi="Arial"/>
          <w:sz w:val="18"/>
          <w:szCs w:val="18"/>
          <w:b w:val="1"/>
          <w:bCs w:val="1"/>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the Trust Indenture Act as then in effect.</w:t>
      </w:r>
    </w:p>
    <w:p>
      <w:pPr>
        <w:spacing w:after="0" w:line="162"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SECTION 906. </w:t>
      </w:r>
      <w:r>
        <w:rPr>
          <w:rFonts w:ascii="Arial" w:cs="Arial" w:eastAsia="Arial" w:hAnsi="Arial"/>
          <w:sz w:val="18"/>
          <w:szCs w:val="18"/>
          <w:b w:val="1"/>
          <w:bCs w:val="1"/>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SECTION 1001. </w:t>
      </w:r>
      <w:r>
        <w:rPr>
          <w:rFonts w:ascii="Arial" w:cs="Arial" w:eastAsia="Arial" w:hAnsi="Arial"/>
          <w:sz w:val="18"/>
          <w:szCs w:val="18"/>
          <w:b w:val="1"/>
          <w:bCs w:val="1"/>
          <w:u w:val="single" w:color="auto"/>
          <w:color w:val="auto"/>
        </w:rPr>
        <w:t>Payment of Principal, Premium or Make-Whole Amount, if any; and Interest</w:t>
      </w:r>
      <w:r>
        <w:rPr>
          <w:rFonts w:ascii="Arial" w:cs="Arial" w:eastAsia="Arial" w:hAnsi="Arial"/>
          <w:sz w:val="18"/>
          <w:szCs w:val="18"/>
          <w:color w:val="auto"/>
        </w:rPr>
        <w:t>. The Company covenants and agrees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ind w:firstLine="648"/>
        <w:spacing w:after="0" w:line="284" w:lineRule="auto"/>
        <w:rPr>
          <w:sz w:val="20"/>
          <w:szCs w:val="20"/>
          <w:color w:val="auto"/>
        </w:rPr>
      </w:pPr>
      <w:r>
        <w:rPr>
          <w:rFonts w:ascii="Arial" w:cs="Arial" w:eastAsia="Arial" w:hAnsi="Arial"/>
          <w:sz w:val="16"/>
          <w:szCs w:val="16"/>
          <w:b w:val="1"/>
          <w:bCs w:val="1"/>
          <w:color w:val="auto"/>
        </w:rPr>
        <w:t xml:space="preserve">SECTION 1002. </w:t>
      </w:r>
      <w:r>
        <w:rPr>
          <w:rFonts w:ascii="Arial" w:cs="Arial" w:eastAsia="Arial" w:hAnsi="Arial"/>
          <w:sz w:val="16"/>
          <w:szCs w:val="16"/>
          <w:b w:val="1"/>
          <w:bCs w:val="1"/>
          <w:u w:val="single" w:color="auto"/>
          <w:color w:val="auto"/>
        </w:rPr>
        <w:t>Maintenance of Office or Agency</w:t>
      </w:r>
      <w:r>
        <w:rPr>
          <w:rFonts w:ascii="Arial" w:cs="Arial" w:eastAsia="Arial" w:hAnsi="Arial"/>
          <w:sz w:val="16"/>
          <w:szCs w:val="16"/>
          <w:color w:val="auto"/>
        </w:rPr>
        <w:t>. If Securities of a series are issuable only as Registered Securities,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provided, however,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8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provided, however,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may from time to time designate one or more other offices or agencies (in or outside the Place of Payment) where the Securities of one or more series may be presented or surrendered for any or all of such purposes, and may from time to time rescind such designations; provided, however,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1" w:name="page92"/>
    <w:bookmarkEnd w:id="91"/>
    <w:p>
      <w:pPr>
        <w:ind w:right="40" w:firstLine="648"/>
        <w:spacing w:after="0" w:line="259" w:lineRule="auto"/>
        <w:rPr>
          <w:sz w:val="20"/>
          <w:szCs w:val="20"/>
          <w:color w:val="auto"/>
        </w:rPr>
      </w:pPr>
      <w:r>
        <w:rPr>
          <w:rFonts w:ascii="Arial" w:cs="Arial" w:eastAsia="Arial" w:hAnsi="Arial"/>
          <w:sz w:val="18"/>
          <w:szCs w:val="18"/>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8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 xml:space="preserve">SECTION 1003. </w:t>
      </w:r>
      <w:r>
        <w:rPr>
          <w:rFonts w:ascii="Arial" w:cs="Arial" w:eastAsia="Arial" w:hAnsi="Arial"/>
          <w:sz w:val="18"/>
          <w:szCs w:val="18"/>
          <w:b w:val="1"/>
          <w:bCs w:val="1"/>
          <w:u w:val="single" w:color="auto"/>
          <w:color w:val="auto"/>
        </w:rPr>
        <w:t>Money for Securities Payments to Be Held in Trust</w:t>
      </w:r>
      <w:r>
        <w:rPr>
          <w:rFonts w:ascii="Arial" w:cs="Arial" w:eastAsia="Arial" w:hAnsi="Arial"/>
          <w:sz w:val="18"/>
          <w:szCs w:val="18"/>
          <w:color w:val="auto"/>
        </w:rPr>
        <w:t>. If the Company shall at any time act as its own Paying Agent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9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46" w:lineRule="exact"/>
        <w:rPr>
          <w:sz w:val="20"/>
          <w:szCs w:val="20"/>
          <w:color w:val="auto"/>
        </w:rPr>
      </w:pPr>
    </w:p>
    <w:p>
      <w:pPr>
        <w:ind w:right="360" w:firstLine="1304"/>
        <w:spacing w:after="0" w:line="308" w:lineRule="auto"/>
        <w:tabs>
          <w:tab w:leader="none" w:pos="1551" w:val="left"/>
        </w:tabs>
        <w:numPr>
          <w:ilvl w:val="0"/>
          <w:numId w:val="81"/>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46" w:lineRule="exact"/>
        <w:rPr>
          <w:rFonts w:ascii="Arial" w:cs="Arial" w:eastAsia="Arial" w:hAnsi="Arial"/>
          <w:sz w:val="17"/>
          <w:szCs w:val="17"/>
          <w:color w:val="auto"/>
        </w:rPr>
      </w:pPr>
    </w:p>
    <w:p>
      <w:pPr>
        <w:ind w:right="160" w:firstLine="1304"/>
        <w:spacing w:after="0" w:line="277" w:lineRule="auto"/>
        <w:tabs>
          <w:tab w:leader="none" w:pos="1551" w:val="left"/>
        </w:tabs>
        <w:numPr>
          <w:ilvl w:val="0"/>
          <w:numId w:val="81"/>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70" w:lineRule="exact"/>
        <w:rPr>
          <w:rFonts w:ascii="Arial" w:cs="Arial" w:eastAsia="Arial" w:hAnsi="Arial"/>
          <w:sz w:val="18"/>
          <w:szCs w:val="18"/>
          <w:color w:val="auto"/>
        </w:rPr>
      </w:pPr>
    </w:p>
    <w:p>
      <w:pPr>
        <w:ind w:firstLine="1304"/>
        <w:spacing w:after="0" w:line="277" w:lineRule="auto"/>
        <w:tabs>
          <w:tab w:leader="none" w:pos="155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firstLine="648"/>
        <w:spacing w:after="0" w:line="269" w:lineRule="auto"/>
        <w:rPr>
          <w:sz w:val="20"/>
          <w:szCs w:val="20"/>
          <w:color w:val="auto"/>
        </w:rPr>
      </w:pPr>
      <w:r>
        <w:rPr>
          <w:rFonts w:ascii="Arial" w:cs="Arial" w:eastAsia="Arial" w:hAnsi="Arial"/>
          <w:sz w:val="17"/>
          <w:szCs w:val="17"/>
          <w:color w:val="auto"/>
        </w:rPr>
        <w:t>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81" w:lineRule="exact"/>
        <w:rPr>
          <w:sz w:val="20"/>
          <w:szCs w:val="20"/>
          <w:color w:val="auto"/>
        </w:rPr>
      </w:pPr>
    </w:p>
    <w:p>
      <w:pPr>
        <w:jc w:val="both"/>
        <w:ind w:right="180" w:firstLine="648"/>
        <w:spacing w:after="0" w:line="261" w:lineRule="auto"/>
        <w:rPr>
          <w:sz w:val="20"/>
          <w:szCs w:val="20"/>
          <w:color w:val="auto"/>
        </w:rPr>
      </w:pPr>
      <w:r>
        <w:rPr>
          <w:rFonts w:ascii="Arial" w:cs="Arial" w:eastAsia="Arial" w:hAnsi="Arial"/>
          <w:sz w:val="18"/>
          <w:szCs w:val="18"/>
          <w:b w:val="1"/>
          <w:bCs w:val="1"/>
          <w:color w:val="auto"/>
        </w:rPr>
        <w:t xml:space="preserve">SECTION 1004. </w:t>
      </w:r>
      <w:r>
        <w:rPr>
          <w:rFonts w:ascii="Arial" w:cs="Arial" w:eastAsia="Arial" w:hAnsi="Arial"/>
          <w:sz w:val="18"/>
          <w:szCs w:val="18"/>
          <w:b w:val="1"/>
          <w:bCs w:val="1"/>
          <w:u w:val="single" w:color="auto"/>
          <w:color w:val="auto"/>
        </w:rPr>
        <w:t>Existence</w:t>
      </w:r>
      <w:r>
        <w:rPr>
          <w:rFonts w:ascii="Arial" w:cs="Arial" w:eastAsia="Arial" w:hAnsi="Arial"/>
          <w:sz w:val="18"/>
          <w:szCs w:val="18"/>
          <w:color w:val="auto"/>
        </w:rPr>
        <w:t>. Subject to Article Eight, the Company will do or cause to be done all things necessary to preserve and keep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its corporate existence, all material rights (by articles of incorporation, by-laws and statute) and material franchises; provided, however, that the Company shall not be required to preserve any such right or franchise if the Board of Directors shall determine that the preservation thereof is no longer desirable in the conduct of the business of the Company.</w:t>
      </w:r>
    </w:p>
    <w:p>
      <w:pPr>
        <w:spacing w:after="0" w:line="18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color w:val="auto"/>
        </w:rPr>
        <w:t xml:space="preserve">SECTION 1005. </w:t>
      </w:r>
      <w:r>
        <w:rPr>
          <w:rFonts w:ascii="Arial" w:cs="Arial" w:eastAsia="Arial" w:hAnsi="Arial"/>
          <w:sz w:val="18"/>
          <w:szCs w:val="18"/>
          <w:b w:val="1"/>
          <w:bCs w:val="1"/>
          <w:u w:val="single" w:color="auto"/>
          <w:color w:val="auto"/>
        </w:rPr>
        <w:t>Maintenance of Properties</w:t>
      </w:r>
      <w:r>
        <w:rPr>
          <w:rFonts w:ascii="Arial" w:cs="Arial" w:eastAsia="Arial" w:hAnsi="Arial"/>
          <w:sz w:val="18"/>
          <w:szCs w:val="18"/>
          <w:color w:val="auto"/>
        </w:rPr>
        <w:t>. The Company will cause all of its material properties used or useful in the conduct of its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provided, however, that the Company and its Subsidiaries shall not be prevented from (i) 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18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1006.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Company will cause each of its and its Subsidiaries’ insurable properties to be insured against loss or damage in</w:t>
      </w:r>
      <w:r>
        <w:rPr>
          <w:rFonts w:ascii="Arial" w:cs="Arial" w:eastAsia="Arial" w:hAnsi="Arial"/>
          <w:sz w:val="18"/>
          <w:szCs w:val="18"/>
          <w:b w:val="1"/>
          <w:bCs w:val="1"/>
          <w:color w:val="auto"/>
        </w:rPr>
        <w:t xml:space="preserve"> </w:t>
      </w:r>
      <w:r>
        <w:rPr>
          <w:rFonts w:ascii="Arial" w:cs="Arial" w:eastAsia="Arial" w:hAnsi="Arial"/>
          <w:sz w:val="18"/>
          <w:szCs w:val="18"/>
          <w:color w:val="auto"/>
        </w:rPr>
        <w:t>an amount deemed reasonable by the Board of Directors with insurers of recognized responsibility.</w:t>
      </w:r>
    </w:p>
    <w:p>
      <w:pPr>
        <w:spacing w:after="0" w:line="162"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b w:val="1"/>
          <w:bCs w:val="1"/>
          <w:color w:val="auto"/>
        </w:rPr>
        <w:t xml:space="preserve">SECTION 1007. </w:t>
      </w:r>
      <w:r>
        <w:rPr>
          <w:rFonts w:ascii="Arial" w:cs="Arial" w:eastAsia="Arial" w:hAnsi="Arial"/>
          <w:sz w:val="16"/>
          <w:szCs w:val="16"/>
          <w:b w:val="1"/>
          <w:bCs w:val="1"/>
          <w:u w:val="single" w:color="auto"/>
          <w:color w:val="auto"/>
        </w:rPr>
        <w:t>Payment of Taxes and Other Claims</w:t>
      </w:r>
      <w:r>
        <w:rPr>
          <w:rFonts w:ascii="Arial" w:cs="Arial" w:eastAsia="Arial" w:hAnsi="Arial"/>
          <w:sz w:val="16"/>
          <w:szCs w:val="16"/>
          <w:color w:val="auto"/>
        </w:rPr>
        <w:t>. The Company will pay or discharge or cause to be paid or discharged, before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3" w:name="page94"/>
    <w:bookmarkEnd w:id="93"/>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SECTION 1008. </w:t>
      </w:r>
      <w:r>
        <w:rPr>
          <w:rFonts w:ascii="Arial" w:cs="Arial" w:eastAsia="Arial" w:hAnsi="Arial"/>
          <w:sz w:val="18"/>
          <w:szCs w:val="18"/>
          <w:b w:val="1"/>
          <w:bCs w:val="1"/>
          <w:u w:val="single" w:color="auto"/>
          <w:color w:val="auto"/>
        </w:rPr>
        <w:t>Statement as to Compliance</w:t>
      </w:r>
      <w:r>
        <w:rPr>
          <w:rFonts w:ascii="Arial" w:cs="Arial" w:eastAsia="Arial" w:hAnsi="Arial"/>
          <w:sz w:val="18"/>
          <w:szCs w:val="18"/>
          <w:color w:val="auto"/>
        </w:rPr>
        <w:t>. The Company will deliver to the Trustee, within 120 days after the end of each fiscal year, a brief</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3"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SECTION 1009. </w:t>
      </w:r>
      <w:r>
        <w:rPr>
          <w:rFonts w:ascii="Arial" w:cs="Arial" w:eastAsia="Arial" w:hAnsi="Arial"/>
          <w:sz w:val="18"/>
          <w:szCs w:val="18"/>
          <w:b w:val="1"/>
          <w:bCs w:val="1"/>
          <w:u w:val="single" w:color="auto"/>
          <w:color w:val="auto"/>
        </w:rPr>
        <w:t>Waiver of Certain Covenants</w:t>
      </w:r>
      <w:r>
        <w:rPr>
          <w:rFonts w:ascii="Arial" w:cs="Arial" w:eastAsia="Arial" w:hAnsi="Arial"/>
          <w:sz w:val="18"/>
          <w:szCs w:val="18"/>
          <w:color w:val="auto"/>
        </w:rPr>
        <w:t>. The Company may omit in any particular instance to comply with any term, provision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07" w:lineRule="exact"/>
        <w:rPr>
          <w:sz w:val="20"/>
          <w:szCs w:val="20"/>
          <w:color w:val="auto"/>
        </w:rPr>
      </w:pPr>
    </w:p>
    <w:p>
      <w:pPr>
        <w:ind w:right="80" w:firstLine="648"/>
        <w:spacing w:after="0" w:line="347" w:lineRule="auto"/>
        <w:rPr>
          <w:sz w:val="20"/>
          <w:szCs w:val="20"/>
          <w:color w:val="auto"/>
        </w:rPr>
      </w:pPr>
      <w:r>
        <w:rPr>
          <w:rFonts w:ascii="Arial" w:cs="Arial" w:eastAsia="Arial" w:hAnsi="Arial"/>
          <w:sz w:val="16"/>
          <w:szCs w:val="16"/>
          <w:b w:val="1"/>
          <w:bCs w:val="1"/>
          <w:color w:val="auto"/>
        </w:rPr>
        <w:t xml:space="preserve">SECTION 1101. </w:t>
      </w:r>
      <w:r>
        <w:rPr>
          <w:rFonts w:ascii="Arial" w:cs="Arial" w:eastAsia="Arial" w:hAnsi="Arial"/>
          <w:sz w:val="16"/>
          <w:szCs w:val="16"/>
          <w:b w:val="1"/>
          <w:bCs w:val="1"/>
          <w:u w:val="single" w:color="auto"/>
          <w:color w:val="auto"/>
        </w:rPr>
        <w:t>Applicability of Article</w:t>
      </w:r>
      <w:r>
        <w:rPr>
          <w:rFonts w:ascii="Arial" w:cs="Arial" w:eastAsia="Arial" w:hAnsi="Arial"/>
          <w:sz w:val="16"/>
          <w:szCs w:val="16"/>
          <w:color w:val="auto"/>
        </w:rPr>
        <w:t>. Securities of any series which are redeemable before their Stated Maturity shall be redeemable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their terms and (except as otherwise specified as contemplated by Section 301 for Securities of any series) in accordance with this Article.</w:t>
      </w:r>
    </w:p>
    <w:p>
      <w:pPr>
        <w:spacing w:after="0" w:line="116"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b w:val="1"/>
          <w:bCs w:val="1"/>
          <w:color w:val="auto"/>
        </w:rPr>
        <w:t xml:space="preserve">SECTION 1102. </w:t>
      </w:r>
      <w:r>
        <w:rPr>
          <w:rFonts w:ascii="Arial" w:cs="Arial" w:eastAsia="Arial" w:hAnsi="Arial"/>
          <w:sz w:val="17"/>
          <w:szCs w:val="17"/>
          <w:b w:val="1"/>
          <w:bCs w:val="1"/>
          <w:u w:val="single" w:color="auto"/>
          <w:color w:val="auto"/>
        </w:rPr>
        <w:t>Election to Redeem; Notice to Trustee</w:t>
      </w:r>
      <w:r>
        <w:rPr>
          <w:rFonts w:ascii="Arial" w:cs="Arial" w:eastAsia="Arial" w:hAnsi="Arial"/>
          <w:sz w:val="17"/>
          <w:szCs w:val="17"/>
          <w:color w:val="auto"/>
        </w:rPr>
        <w:t>. The election of the Company to redeem any Securities shall be evidenced by or</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1103. </w:t>
      </w:r>
      <w:r>
        <w:rPr>
          <w:rFonts w:ascii="Arial" w:cs="Arial" w:eastAsia="Arial" w:hAnsi="Arial"/>
          <w:sz w:val="18"/>
          <w:szCs w:val="18"/>
          <w:b w:val="1"/>
          <w:bCs w:val="1"/>
          <w:u w:val="single" w:color="auto"/>
          <w:color w:val="auto"/>
        </w:rPr>
        <w:t>Selection by Trustee of Securities to Be Redeemed</w:t>
      </w:r>
      <w:r>
        <w:rPr>
          <w:rFonts w:ascii="Arial" w:cs="Arial" w:eastAsia="Arial" w:hAnsi="Arial"/>
          <w:sz w:val="18"/>
          <w:szCs w:val="18"/>
          <w:color w:val="auto"/>
        </w:rPr>
        <w:t>. If less than all the Securities of any series issued on the same day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9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firstLine="648"/>
        <w:spacing w:after="0" w:line="258" w:lineRule="auto"/>
        <w:rPr>
          <w:sz w:val="20"/>
          <w:szCs w:val="20"/>
          <w:color w:val="auto"/>
        </w:rPr>
      </w:pPr>
      <w:r>
        <w:rPr>
          <w:rFonts w:ascii="Arial" w:cs="Arial" w:eastAsia="Arial" w:hAnsi="Arial"/>
          <w:sz w:val="18"/>
          <w:szCs w:val="18"/>
          <w:b w:val="1"/>
          <w:bCs w:val="1"/>
          <w:color w:val="auto"/>
        </w:rPr>
        <w:t xml:space="preserve">SECTION 1104. </w:t>
      </w:r>
      <w:r>
        <w:rPr>
          <w:rFonts w:ascii="Arial" w:cs="Arial" w:eastAsia="Arial" w:hAnsi="Arial"/>
          <w:sz w:val="18"/>
          <w:szCs w:val="18"/>
          <w:b w:val="1"/>
          <w:bCs w:val="1"/>
          <w:u w:val="single" w:color="auto"/>
          <w:color w:val="auto"/>
        </w:rPr>
        <w:t>Notice of Redemption</w:t>
      </w:r>
      <w:r>
        <w:rPr>
          <w:rFonts w:ascii="Arial" w:cs="Arial" w:eastAsia="Arial" w:hAnsi="Arial"/>
          <w:sz w:val="18"/>
          <w:szCs w:val="18"/>
          <w:color w:val="auto"/>
        </w:rPr>
        <w:t>. Notice of redemption shall be given in the manner provided in Section 106, not less than 30 days nor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560" w:hanging="256"/>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225" w:lineRule="exact"/>
        <w:rPr>
          <w:rFonts w:ascii="Arial" w:cs="Arial" w:eastAsia="Arial" w:hAnsi="Arial"/>
          <w:sz w:val="18"/>
          <w:szCs w:val="18"/>
          <w:color w:val="auto"/>
        </w:rPr>
      </w:pPr>
    </w:p>
    <w:p>
      <w:pPr>
        <w:ind w:right="220" w:firstLine="1304"/>
        <w:spacing w:after="0" w:line="277" w:lineRule="auto"/>
        <w:tabs>
          <w:tab w:leader="none" w:pos="155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70" w:lineRule="exact"/>
        <w:rPr>
          <w:rFonts w:ascii="Arial" w:cs="Arial" w:eastAsia="Arial" w:hAnsi="Arial"/>
          <w:sz w:val="18"/>
          <w:szCs w:val="18"/>
          <w:color w:val="auto"/>
        </w:rPr>
      </w:pPr>
    </w:p>
    <w:p>
      <w:pPr>
        <w:ind w:right="120" w:firstLine="1304"/>
        <w:spacing w:after="0" w:line="263" w:lineRule="auto"/>
        <w:tabs>
          <w:tab w:leader="none" w:pos="155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83" w:lineRule="exact"/>
        <w:rPr>
          <w:rFonts w:ascii="Arial" w:cs="Arial" w:eastAsia="Arial" w:hAnsi="Arial"/>
          <w:sz w:val="18"/>
          <w:szCs w:val="18"/>
          <w:color w:val="auto"/>
        </w:rPr>
      </w:pPr>
    </w:p>
    <w:p>
      <w:pPr>
        <w:ind w:right="40" w:firstLine="1304"/>
        <w:spacing w:after="0" w:line="263" w:lineRule="auto"/>
        <w:tabs>
          <w:tab w:leader="none" w:pos="155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83" w:lineRule="exact"/>
        <w:rPr>
          <w:rFonts w:ascii="Arial" w:cs="Arial" w:eastAsia="Arial" w:hAnsi="Arial"/>
          <w:sz w:val="18"/>
          <w:szCs w:val="18"/>
          <w:color w:val="auto"/>
        </w:rPr>
      </w:pPr>
    </w:p>
    <w:p>
      <w:pPr>
        <w:ind w:right="100" w:firstLine="1304"/>
        <w:spacing w:after="0" w:line="342" w:lineRule="auto"/>
        <w:tabs>
          <w:tab w:leader="none" w:pos="155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225" w:lineRule="exact"/>
        <w:rPr>
          <w:rFonts w:ascii="Arial" w:cs="Arial" w:eastAsia="Arial" w:hAnsi="Arial"/>
          <w:sz w:val="18"/>
          <w:szCs w:val="18"/>
          <w:color w:val="auto"/>
        </w:rPr>
      </w:pPr>
    </w:p>
    <w:p>
      <w:pPr>
        <w:ind w:right="120" w:firstLine="1304"/>
        <w:spacing w:after="0" w:line="311" w:lineRule="auto"/>
        <w:tabs>
          <w:tab w:leader="none" w:pos="155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148" w:lineRule="exact"/>
        <w:rPr>
          <w:rFonts w:ascii="Arial" w:cs="Arial" w:eastAsia="Arial" w:hAnsi="Arial"/>
          <w:sz w:val="16"/>
          <w:szCs w:val="16"/>
          <w:color w:val="auto"/>
        </w:rPr>
      </w:pPr>
    </w:p>
    <w:p>
      <w:pPr>
        <w:ind w:right="60" w:firstLine="1304"/>
        <w:spacing w:after="0" w:line="286" w:lineRule="auto"/>
        <w:tabs>
          <w:tab w:leader="none" w:pos="1551"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 the CUSIP number of such Security, if any, and</w:t>
      </w:r>
    </w:p>
    <w:p>
      <w:pPr>
        <w:spacing w:after="0" w:line="165" w:lineRule="exact"/>
        <w:rPr>
          <w:rFonts w:ascii="Arial" w:cs="Arial" w:eastAsia="Arial" w:hAnsi="Arial"/>
          <w:sz w:val="17"/>
          <w:szCs w:val="17"/>
          <w:color w:val="auto"/>
        </w:rPr>
      </w:pPr>
    </w:p>
    <w:p>
      <w:pPr>
        <w:ind w:right="580" w:firstLine="1304"/>
        <w:spacing w:after="0" w:line="263" w:lineRule="auto"/>
        <w:tabs>
          <w:tab w:leader="none" w:pos="164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ind w:right="40"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66"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b w:val="1"/>
          <w:bCs w:val="1"/>
          <w:color w:val="auto"/>
        </w:rPr>
        <w:t xml:space="preserve">SECTION 1105. </w:t>
      </w:r>
      <w:r>
        <w:rPr>
          <w:rFonts w:ascii="Arial" w:cs="Arial" w:eastAsia="Arial" w:hAnsi="Arial"/>
          <w:sz w:val="17"/>
          <w:szCs w:val="17"/>
          <w:b w:val="1"/>
          <w:bCs w:val="1"/>
          <w:u w:val="single" w:color="auto"/>
          <w:color w:val="auto"/>
        </w:rPr>
        <w:t>Deposit of Redemption Price</w:t>
      </w:r>
      <w:r>
        <w:rPr>
          <w:rFonts w:ascii="Arial" w:cs="Arial" w:eastAsia="Arial" w:hAnsi="Arial"/>
          <w:sz w:val="17"/>
          <w:szCs w:val="17"/>
          <w:color w:val="auto"/>
        </w:rPr>
        <w:t>. On or prior to any Redemption Date, the Company shall deposit with the Trustee or with a</w:t>
      </w:r>
      <w:r>
        <w:rPr>
          <w:rFonts w:ascii="Arial" w:cs="Arial" w:eastAsia="Arial" w:hAnsi="Arial"/>
          <w:sz w:val="17"/>
          <w:szCs w:val="17"/>
          <w:b w:val="1"/>
          <w:bCs w:val="1"/>
          <w:color w:val="auto"/>
        </w:rPr>
        <w:t xml:space="preserve"> </w:t>
      </w:r>
      <w:r>
        <w:rPr>
          <w:rFonts w:ascii="Arial" w:cs="Arial" w:eastAsia="Arial" w:hAnsi="Arial"/>
          <w:sz w:val="17"/>
          <w:szCs w:val="17"/>
          <w:color w:val="auto"/>
        </w:rPr>
        <w:t>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8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1106. </w:t>
      </w:r>
      <w:r>
        <w:rPr>
          <w:rFonts w:ascii="Arial" w:cs="Arial" w:eastAsia="Arial" w:hAnsi="Arial"/>
          <w:sz w:val="16"/>
          <w:szCs w:val="16"/>
          <w:b w:val="1"/>
          <w:bCs w:val="1"/>
          <w:u w:val="single" w:color="auto"/>
          <w:color w:val="auto"/>
        </w:rPr>
        <w:t>Securities Payable on Redemption Date</w:t>
      </w:r>
      <w:r>
        <w:rPr>
          <w:rFonts w:ascii="Arial" w:cs="Arial" w:eastAsia="Arial" w:hAnsi="Arial"/>
          <w:sz w:val="16"/>
          <w:szCs w:val="16"/>
          <w:color w:val="auto"/>
        </w:rPr>
        <w:t>. Notice of redemption having been given as aforesaid, the Securities so to be</w:t>
      </w:r>
      <w:r>
        <w:rPr>
          <w:rFonts w:ascii="Arial" w:cs="Arial" w:eastAsia="Arial" w:hAnsi="Arial"/>
          <w:sz w:val="16"/>
          <w:szCs w:val="16"/>
          <w:b w:val="1"/>
          <w:bCs w:val="1"/>
          <w:color w:val="auto"/>
        </w:rPr>
        <w:t xml:space="preserve"> </w:t>
      </w:r>
      <w:r>
        <w:rPr>
          <w:rFonts w:ascii="Arial" w:cs="Arial" w:eastAsia="Arial" w:hAnsi="Arial"/>
          <w:sz w:val="16"/>
          <w:szCs w:val="16"/>
          <w:color w:val="auto"/>
        </w:rPr>
        <w:t>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right="40" w:firstLine="648"/>
        <w:spacing w:after="0" w:line="254" w:lineRule="auto"/>
        <w:rPr>
          <w:sz w:val="20"/>
          <w:szCs w:val="20"/>
          <w:color w:val="auto"/>
        </w:rPr>
      </w:pPr>
      <w:r>
        <w:rPr>
          <w:rFonts w:ascii="Arial" w:cs="Arial" w:eastAsia="Arial" w:hAnsi="Arial"/>
          <w:sz w:val="18"/>
          <w:szCs w:val="18"/>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 xml:space="preserve">SECTION 1107. </w:t>
      </w:r>
      <w:r>
        <w:rPr>
          <w:rFonts w:ascii="Arial" w:cs="Arial" w:eastAsia="Arial" w:hAnsi="Arial"/>
          <w:sz w:val="17"/>
          <w:szCs w:val="17"/>
          <w:b w:val="1"/>
          <w:bCs w:val="1"/>
          <w:u w:val="single" w:color="auto"/>
          <w:color w:val="auto"/>
        </w:rPr>
        <w:t>Securities Redeemed in Part</w:t>
      </w:r>
      <w:r>
        <w:rPr>
          <w:rFonts w:ascii="Arial" w:cs="Arial" w:eastAsia="Arial" w:hAnsi="Arial"/>
          <w:sz w:val="17"/>
          <w:szCs w:val="17"/>
          <w:color w:val="auto"/>
        </w:rPr>
        <w:t>. Any Registered Security which is to be redeemed only in part (pursuant to the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0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1201. </w:t>
      </w:r>
      <w:r>
        <w:rPr>
          <w:rFonts w:ascii="Arial" w:cs="Arial" w:eastAsia="Arial" w:hAnsi="Arial"/>
          <w:sz w:val="18"/>
          <w:szCs w:val="18"/>
          <w:b w:val="1"/>
          <w:bCs w:val="1"/>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a series except as otherwise specified as contemplated by Section 301 for Securities of such series.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1202. </w:t>
      </w:r>
      <w:r>
        <w:rPr>
          <w:rFonts w:ascii="Arial" w:cs="Arial" w:eastAsia="Arial" w:hAnsi="Arial"/>
          <w:sz w:val="16"/>
          <w:szCs w:val="16"/>
          <w:b w:val="1"/>
          <w:bCs w:val="1"/>
          <w:u w:val="single" w:color="auto"/>
          <w:color w:val="auto"/>
        </w:rPr>
        <w:t>Satisfaction of Sinking Fund Payments with Securities</w:t>
      </w:r>
      <w:r>
        <w:rPr>
          <w:rFonts w:ascii="Arial" w:cs="Arial" w:eastAsia="Arial" w:hAnsi="Arial"/>
          <w:sz w:val="16"/>
          <w:szCs w:val="16"/>
          <w:color w:val="auto"/>
        </w:rPr>
        <w:t>. The Company may, in satisfaction of all or any part of any mandatory</w:t>
      </w:r>
      <w:r>
        <w:rPr>
          <w:rFonts w:ascii="Arial" w:cs="Arial" w:eastAsia="Arial" w:hAnsi="Arial"/>
          <w:sz w:val="16"/>
          <w:szCs w:val="16"/>
          <w:b w:val="1"/>
          <w:bCs w:val="1"/>
          <w:color w:val="auto"/>
        </w:rPr>
        <w:t xml:space="preserve"> </w:t>
      </w:r>
      <w:r>
        <w:rPr>
          <w:rFonts w:ascii="Arial" w:cs="Arial" w:eastAsia="Arial" w:hAnsi="Arial"/>
          <w:sz w:val="16"/>
          <w:szCs w:val="16"/>
          <w:color w:val="auto"/>
        </w:rPr>
        <w:t>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provided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5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b w:val="1"/>
          <w:bCs w:val="1"/>
          <w:color w:val="auto"/>
        </w:rPr>
        <w:t xml:space="preserve">SECTION 1203. </w:t>
      </w:r>
      <w:r>
        <w:rPr>
          <w:rFonts w:ascii="Arial" w:cs="Arial" w:eastAsia="Arial" w:hAnsi="Arial"/>
          <w:sz w:val="16"/>
          <w:szCs w:val="16"/>
          <w:b w:val="1"/>
          <w:bCs w:val="1"/>
          <w:u w:val="single" w:color="auto"/>
          <w:color w:val="auto"/>
        </w:rPr>
        <w:t>Redemption of Securities for Sinking Fund</w:t>
      </w:r>
      <w:r>
        <w:rPr>
          <w:rFonts w:ascii="Arial" w:cs="Arial" w:eastAsia="Arial" w:hAnsi="Arial"/>
          <w:sz w:val="16"/>
          <w:szCs w:val="16"/>
          <w:color w:val="auto"/>
        </w:rPr>
        <w:t>. Not less than 60 days prior to each sinking fund payment date for Securities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REPAYMENT AT THE OPTION OF HOLDERS</w:t>
      </w:r>
    </w:p>
    <w:p>
      <w:pPr>
        <w:spacing w:after="0" w:line="207"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1301. </w:t>
      </w:r>
      <w:r>
        <w:rPr>
          <w:rFonts w:ascii="Arial" w:cs="Arial" w:eastAsia="Arial" w:hAnsi="Arial"/>
          <w:sz w:val="18"/>
          <w:szCs w:val="18"/>
          <w:b w:val="1"/>
          <w:bCs w:val="1"/>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in accordance with the terms of such Securities, if any, and (except as otherwise specified by the terms of such series established pursuant to Section 301) in accordance with this Article.</w:t>
      </w:r>
    </w:p>
    <w:p>
      <w:pPr>
        <w:spacing w:after="0" w:line="17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color w:val="auto"/>
        </w:rPr>
        <w:t xml:space="preserve">SECTION 1302. </w:t>
      </w:r>
      <w:r>
        <w:rPr>
          <w:rFonts w:ascii="Arial" w:cs="Arial" w:eastAsia="Arial" w:hAnsi="Arial"/>
          <w:sz w:val="16"/>
          <w:szCs w:val="16"/>
          <w:b w:val="1"/>
          <w:bCs w:val="1"/>
          <w:u w:val="single" w:color="auto"/>
          <w:color w:val="auto"/>
        </w:rPr>
        <w:t>Repayment of Securities</w:t>
      </w:r>
      <w:r>
        <w:rPr>
          <w:rFonts w:ascii="Arial" w:cs="Arial" w:eastAsia="Arial" w:hAnsi="Arial"/>
          <w:sz w:val="16"/>
          <w:szCs w:val="16"/>
          <w:color w:val="auto"/>
        </w:rPr>
        <w:t>. Securities of any series subject to repayment in whole or in part at the option of the Holders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5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1303. </w:t>
      </w: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Securities of any series subject to repayment at the option of the Holders thereof will contain an “Option to</w:t>
      </w:r>
      <w:r>
        <w:rPr>
          <w:rFonts w:ascii="Arial" w:cs="Arial" w:eastAsia="Arial" w:hAnsi="Arial"/>
          <w:sz w:val="16"/>
          <w:szCs w:val="16"/>
          <w:b w:val="1"/>
          <w:bCs w:val="1"/>
          <w:color w:val="auto"/>
        </w:rPr>
        <w:t xml:space="preserve"> </w:t>
      </w:r>
      <w:r>
        <w:rPr>
          <w:rFonts w:ascii="Arial" w:cs="Arial" w:eastAsia="Arial" w:hAnsi="Arial"/>
          <w:sz w:val="16"/>
          <w:szCs w:val="16"/>
          <w:color w:val="auto"/>
        </w:rPr>
        <w:t>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provided, however,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8" w:name="page99"/>
    <w:bookmarkEnd w:id="98"/>
    <w:p>
      <w:pPr>
        <w:ind w:firstLine="648"/>
        <w:spacing w:after="0" w:line="287" w:lineRule="auto"/>
        <w:rPr>
          <w:sz w:val="20"/>
          <w:szCs w:val="20"/>
          <w:color w:val="auto"/>
        </w:rPr>
      </w:pPr>
      <w:r>
        <w:rPr>
          <w:rFonts w:ascii="Arial" w:cs="Arial" w:eastAsia="Arial" w:hAnsi="Arial"/>
          <w:sz w:val="16"/>
          <w:szCs w:val="16"/>
          <w:b w:val="1"/>
          <w:bCs w:val="1"/>
          <w:color w:val="auto"/>
        </w:rPr>
        <w:t xml:space="preserve">SECTION 1304. </w:t>
      </w:r>
      <w:r>
        <w:rPr>
          <w:rFonts w:ascii="Arial" w:cs="Arial" w:eastAsia="Arial" w:hAnsi="Arial"/>
          <w:sz w:val="16"/>
          <w:szCs w:val="16"/>
          <w:b w:val="1"/>
          <w:bCs w:val="1"/>
          <w:u w:val="single" w:color="auto"/>
          <w:color w:val="auto"/>
        </w:rPr>
        <w:t>When Securities Presented for Repayment Become Due and Payable</w:t>
      </w:r>
      <w:r>
        <w:rPr>
          <w:rFonts w:ascii="Arial" w:cs="Arial" w:eastAsia="Arial" w:hAnsi="Arial"/>
          <w:sz w:val="16"/>
          <w:szCs w:val="16"/>
          <w:color w:val="auto"/>
        </w:rPr>
        <w:t>. If Securities of any series providing for repayment at</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provided, however,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0"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b w:val="1"/>
          <w:bCs w:val="1"/>
          <w:color w:val="auto"/>
        </w:rPr>
        <w:t xml:space="preserve">SECTION 1305. </w:t>
      </w:r>
      <w:r>
        <w:rPr>
          <w:rFonts w:ascii="Arial" w:cs="Arial" w:eastAsia="Arial" w:hAnsi="Arial"/>
          <w:sz w:val="17"/>
          <w:szCs w:val="17"/>
          <w:b w:val="1"/>
          <w:bCs w:val="1"/>
          <w:u w:val="single" w:color="auto"/>
          <w:color w:val="auto"/>
        </w:rPr>
        <w:t>Securities Repaid in Part</w:t>
      </w:r>
      <w:r>
        <w:rPr>
          <w:rFonts w:ascii="Arial" w:cs="Arial" w:eastAsia="Arial" w:hAnsi="Arial"/>
          <w:sz w:val="17"/>
          <w:szCs w:val="17"/>
          <w:color w:val="auto"/>
        </w:rPr>
        <w:t>. Upon surrender of any Registered Security which is to be repaid in part only,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DEFEASANCE AND COVENANT DEFEASANCE</w:t>
      </w:r>
    </w:p>
    <w:p>
      <w:pPr>
        <w:spacing w:after="0" w:line="20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b w:val="1"/>
          <w:bCs w:val="1"/>
          <w:color w:val="auto"/>
        </w:rPr>
        <w:t xml:space="preserve">SECTION 1401. </w:t>
      </w:r>
      <w:r>
        <w:rPr>
          <w:rFonts w:ascii="Arial" w:cs="Arial" w:eastAsia="Arial" w:hAnsi="Arial"/>
          <w:sz w:val="17"/>
          <w:szCs w:val="17"/>
          <w:b w:val="1"/>
          <w:bCs w:val="1"/>
          <w:u w:val="single" w:color="auto"/>
          <w:color w:val="auto"/>
        </w:rPr>
        <w:t>Applicability of Article; Company’s Option to Effect Defeasance or Covenant Defeasance</w:t>
      </w:r>
      <w:r>
        <w:rPr>
          <w:rFonts w:ascii="Arial" w:cs="Arial" w:eastAsia="Arial" w:hAnsi="Arial"/>
          <w:sz w:val="17"/>
          <w:szCs w:val="17"/>
          <w:color w:val="auto"/>
        </w:rPr>
        <w:t>. If, pursuant to Section 301,</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7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1402. </w:t>
      </w:r>
      <w:r>
        <w:rPr>
          <w:rFonts w:ascii="Arial" w:cs="Arial" w:eastAsia="Arial" w:hAnsi="Arial"/>
          <w:sz w:val="16"/>
          <w:szCs w:val="16"/>
          <w:b w:val="1"/>
          <w:bCs w:val="1"/>
          <w:u w:val="single" w:color="auto"/>
          <w:color w:val="auto"/>
        </w:rPr>
        <w:t>Defeasance and Discharge</w:t>
      </w:r>
      <w:r>
        <w:rPr>
          <w:rFonts w:ascii="Arial" w:cs="Arial" w:eastAsia="Arial" w:hAnsi="Arial"/>
          <w:sz w:val="16"/>
          <w:szCs w:val="16"/>
          <w:color w:val="auto"/>
        </w:rPr>
        <w:t>. Upon the Company’s exercise of the above option applicable to this Section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to the extent provided with respect to the Securities of such series, Article 16,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1403. </w:t>
      </w:r>
      <w:r>
        <w:rPr>
          <w:rFonts w:ascii="Arial" w:cs="Arial" w:eastAsia="Arial" w:hAnsi="Arial"/>
          <w:sz w:val="16"/>
          <w:szCs w:val="16"/>
          <w:b w:val="1"/>
          <w:bCs w:val="1"/>
          <w:u w:val="single" w:color="auto"/>
          <w:color w:val="auto"/>
        </w:rPr>
        <w:t>Covenant Defeasance</w:t>
      </w:r>
      <w:r>
        <w:rPr>
          <w:rFonts w:ascii="Arial" w:cs="Arial" w:eastAsia="Arial" w:hAnsi="Arial"/>
          <w:sz w:val="16"/>
          <w:szCs w:val="16"/>
          <w:color w:val="auto"/>
        </w:rPr>
        <w:t>. Upon the Company’s exercise of the above option applicable to this Section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or within a series, the Company shall be released from its obligations under Sections 1004 to 1008,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1008,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00" w:name="page101"/>
    <w:bookmarkEnd w:id="100"/>
    <w:p>
      <w:pPr>
        <w:ind w:left="660"/>
        <w:spacing w:after="0"/>
        <w:rPr>
          <w:sz w:val="20"/>
          <w:szCs w:val="20"/>
          <w:color w:val="auto"/>
        </w:rPr>
      </w:pPr>
      <w:r>
        <w:rPr>
          <w:rFonts w:ascii="Arial" w:cs="Arial" w:eastAsia="Arial" w:hAnsi="Arial"/>
          <w:sz w:val="16"/>
          <w:szCs w:val="16"/>
          <w:b w:val="1"/>
          <w:bCs w:val="1"/>
          <w:color w:val="auto"/>
        </w:rPr>
        <w:t xml:space="preserve">SECTION 1404. </w:t>
      </w:r>
      <w:r>
        <w:rPr>
          <w:rFonts w:ascii="Arial" w:cs="Arial" w:eastAsia="Arial" w:hAnsi="Arial"/>
          <w:sz w:val="16"/>
          <w:szCs w:val="16"/>
          <w:b w:val="1"/>
          <w:bCs w:val="1"/>
          <w:u w:val="single" w:color="auto"/>
          <w:color w:val="auto"/>
        </w:rPr>
        <w:t>Conditions to Defeasance or Covenant Defeasance</w:t>
      </w:r>
      <w:r>
        <w:rPr>
          <w:rFonts w:ascii="Arial" w:cs="Arial" w:eastAsia="Arial" w:hAnsi="Arial"/>
          <w:sz w:val="16"/>
          <w:szCs w:val="16"/>
          <w:color w:val="auto"/>
        </w:rPr>
        <w:t>. The following shall be the conditions to application of Section 1402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1403 to any Outstanding Securities of or within a series and any coupons appertaining thereto:</w:t>
      </w:r>
    </w:p>
    <w:p>
      <w:pPr>
        <w:spacing w:after="0" w:line="211" w:lineRule="exact"/>
        <w:rPr>
          <w:sz w:val="20"/>
          <w:szCs w:val="20"/>
          <w:color w:val="auto"/>
        </w:rPr>
      </w:pPr>
    </w:p>
    <w:p>
      <w:pPr>
        <w:ind w:right="20" w:firstLine="656"/>
        <w:spacing w:after="0" w:line="268" w:lineRule="auto"/>
        <w:tabs>
          <w:tab w:leader="none" w:pos="892"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81" w:lineRule="exact"/>
        <w:rPr>
          <w:rFonts w:ascii="Arial" w:cs="Arial" w:eastAsia="Arial" w:hAnsi="Arial"/>
          <w:sz w:val="17"/>
          <w:szCs w:val="17"/>
          <w:color w:val="auto"/>
        </w:rPr>
      </w:pPr>
    </w:p>
    <w:p>
      <w:pPr>
        <w:ind w:right="180" w:firstLine="656"/>
        <w:spacing w:after="0" w:line="277" w:lineRule="auto"/>
        <w:tabs>
          <w:tab w:leader="none" w:pos="9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70" w:lineRule="exact"/>
        <w:rPr>
          <w:rFonts w:ascii="Arial" w:cs="Arial" w:eastAsia="Arial" w:hAnsi="Arial"/>
          <w:sz w:val="18"/>
          <w:szCs w:val="18"/>
          <w:color w:val="auto"/>
        </w:rPr>
      </w:pPr>
    </w:p>
    <w:p>
      <w:pPr>
        <w:ind w:right="20" w:firstLine="656"/>
        <w:spacing w:after="0" w:line="259" w:lineRule="auto"/>
        <w:tabs>
          <w:tab w:leader="none" w:pos="8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ind w:firstLine="656"/>
        <w:spacing w:after="0" w:line="255" w:lineRule="auto"/>
        <w:tabs>
          <w:tab w:leader="none" w:pos="9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92" w:lineRule="exact"/>
        <w:rPr>
          <w:rFonts w:ascii="Arial" w:cs="Arial" w:eastAsia="Arial" w:hAnsi="Arial"/>
          <w:sz w:val="18"/>
          <w:szCs w:val="18"/>
          <w:color w:val="auto"/>
        </w:rPr>
      </w:pPr>
    </w:p>
    <w:p>
      <w:pPr>
        <w:ind w:right="140" w:firstLine="656"/>
        <w:spacing w:after="0" w:line="259" w:lineRule="auto"/>
        <w:tabs>
          <w:tab w:leader="none" w:pos="8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right="100" w:firstLine="656"/>
        <w:spacing w:after="0" w:line="255" w:lineRule="auto"/>
        <w:tabs>
          <w:tab w:leader="none" w:pos="8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92" w:lineRule="exact"/>
        <w:rPr>
          <w:rFonts w:ascii="Arial" w:cs="Arial" w:eastAsia="Arial" w:hAnsi="Arial"/>
          <w:sz w:val="18"/>
          <w:szCs w:val="18"/>
          <w:color w:val="auto"/>
        </w:rPr>
      </w:pPr>
    </w:p>
    <w:p>
      <w:pPr>
        <w:ind w:right="480" w:firstLine="656"/>
        <w:spacing w:after="0" w:line="342" w:lineRule="auto"/>
        <w:tabs>
          <w:tab w:leader="none" w:pos="903"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payment of amounts payable to the Trustee pursuant to this Indenture shall be paid or provided for to the reasonable satisfaction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SECTION 1405. </w:t>
      </w:r>
      <w:r>
        <w:rPr>
          <w:rFonts w:ascii="Arial" w:cs="Arial" w:eastAsia="Arial" w:hAnsi="Arial"/>
          <w:sz w:val="17"/>
          <w:szCs w:val="17"/>
          <w:b w:val="1"/>
          <w:bCs w:val="1"/>
          <w:u w:val="single" w:color="auto"/>
          <w:color w:val="auto"/>
        </w:rPr>
        <w:t>Deposited Money and Government Obligations to Be Held in Trust; Other Miscellaneous Provisions</w:t>
      </w:r>
      <w:r>
        <w:rPr>
          <w:rFonts w:ascii="Arial" w:cs="Arial" w:eastAsia="Arial" w:hAnsi="Arial"/>
          <w:sz w:val="17"/>
          <w:szCs w:val="17"/>
          <w:color w:val="auto"/>
        </w:rPr>
        <w:t>.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w:t>
      </w:r>
    </w:p>
    <w:p>
      <w:pPr>
        <w:spacing w:after="0" w:line="46" w:lineRule="exact"/>
        <w:rPr>
          <w:sz w:val="20"/>
          <w:szCs w:val="20"/>
          <w:color w:val="auto"/>
        </w:rPr>
      </w:pPr>
    </w:p>
    <w:p>
      <w:pPr>
        <w:ind w:right="120" w:firstLine="8"/>
        <w:spacing w:after="0" w:line="286" w:lineRule="auto"/>
        <w:tabs>
          <w:tab w:leader="none" w:pos="24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right="160" w:firstLine="648"/>
        <w:spacing w:after="0" w:line="286" w:lineRule="auto"/>
        <w:rPr>
          <w:sz w:val="20"/>
          <w:szCs w:val="20"/>
          <w:color w:val="auto"/>
        </w:rPr>
      </w:pPr>
      <w:r>
        <w:rPr>
          <w:rFonts w:ascii="Arial" w:cs="Arial" w:eastAsia="Arial" w:hAnsi="Arial"/>
          <w:sz w:val="17"/>
          <w:szCs w:val="17"/>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MEETINGS OF HOLDERS OF SECURITIES</w:t>
      </w:r>
    </w:p>
    <w:p>
      <w:pPr>
        <w:spacing w:after="0" w:line="20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SECTION 1501. </w:t>
      </w:r>
      <w:r>
        <w:rPr>
          <w:rFonts w:ascii="Arial" w:cs="Arial" w:eastAsia="Arial" w:hAnsi="Arial"/>
          <w:sz w:val="18"/>
          <w:szCs w:val="18"/>
          <w:b w:val="1"/>
          <w:bCs w:val="1"/>
          <w:u w:val="single" w:color="auto"/>
          <w:color w:val="auto"/>
        </w:rPr>
        <w:t>Purposes for Which Meetings May Be Called</w:t>
      </w:r>
      <w:r>
        <w:rPr>
          <w:rFonts w:ascii="Arial" w:cs="Arial" w:eastAsia="Arial" w:hAnsi="Arial"/>
          <w:sz w:val="18"/>
          <w:szCs w:val="18"/>
          <w:color w:val="auto"/>
        </w:rPr>
        <w:t>. A meeting of Holders of Securities of any series may be called at any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pursuant to this Article to make, give or take any request, demand, authorization, direction, notice, consent, waiver or other action provided by this Indenture to be made, given or taken by Holders of Securities of such series.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1502. </w:t>
      </w:r>
      <w:r>
        <w:rPr>
          <w:rFonts w:ascii="Arial" w:cs="Arial" w:eastAsia="Arial" w:hAnsi="Arial"/>
          <w:sz w:val="18"/>
          <w:szCs w:val="18"/>
          <w:b w:val="1"/>
          <w:bCs w:val="1"/>
          <w:u w:val="single" w:color="auto"/>
          <w:color w:val="auto"/>
        </w:rPr>
        <w:t>Call, Notice and Place of Meetings</w:t>
      </w:r>
      <w:r>
        <w:rPr>
          <w:rFonts w:ascii="Arial" w:cs="Arial" w:eastAsia="Arial" w:hAnsi="Arial"/>
          <w:sz w:val="18"/>
          <w:szCs w:val="18"/>
          <w:color w:val="auto"/>
        </w:rPr>
        <w:t>.</w:t>
      </w:r>
    </w:p>
    <w:p>
      <w:pPr>
        <w:spacing w:after="0" w:line="229" w:lineRule="exact"/>
        <w:rPr>
          <w:sz w:val="20"/>
          <w:szCs w:val="20"/>
          <w:color w:val="auto"/>
        </w:rPr>
      </w:pPr>
    </w:p>
    <w:p>
      <w:pPr>
        <w:jc w:val="both"/>
        <w:ind w:right="80" w:firstLine="656"/>
        <w:spacing w:after="0" w:line="259" w:lineRule="auto"/>
        <w:tabs>
          <w:tab w:leader="none" w:pos="89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86" w:lineRule="exact"/>
        <w:rPr>
          <w:rFonts w:ascii="Arial" w:cs="Arial" w:eastAsia="Arial" w:hAnsi="Arial"/>
          <w:sz w:val="18"/>
          <w:szCs w:val="18"/>
          <w:color w:val="auto"/>
        </w:rPr>
      </w:pPr>
    </w:p>
    <w:p>
      <w:pPr>
        <w:ind w:right="180" w:firstLine="656"/>
        <w:spacing w:after="0" w:line="293" w:lineRule="auto"/>
        <w:tabs>
          <w:tab w:leader="none" w:pos="903"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60"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1503. </w:t>
      </w:r>
      <w:r>
        <w:rPr>
          <w:rFonts w:ascii="Arial" w:cs="Arial" w:eastAsia="Arial" w:hAnsi="Arial"/>
          <w:sz w:val="18"/>
          <w:szCs w:val="18"/>
          <w:b w:val="1"/>
          <w:bCs w:val="1"/>
          <w:u w:val="single" w:color="auto"/>
          <w:color w:val="auto"/>
        </w:rPr>
        <w:t>Persons Entitled to Vote at Meetings</w:t>
      </w:r>
      <w:r>
        <w:rPr>
          <w:rFonts w:ascii="Arial" w:cs="Arial" w:eastAsia="Arial" w:hAnsi="Arial"/>
          <w:sz w:val="18"/>
          <w:szCs w:val="18"/>
          <w:color w:val="auto"/>
        </w:rPr>
        <w:t>. To be entitled to vote at any meeting of Holders of Securities of any series,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3" w:name="page104"/>
    <w:bookmarkEnd w:id="103"/>
    <w:p>
      <w:pPr>
        <w:ind w:firstLine="648"/>
        <w:spacing w:after="0" w:line="269" w:lineRule="auto"/>
        <w:rPr>
          <w:sz w:val="20"/>
          <w:szCs w:val="20"/>
          <w:color w:val="auto"/>
        </w:rPr>
      </w:pPr>
      <w:r>
        <w:rPr>
          <w:rFonts w:ascii="Arial" w:cs="Arial" w:eastAsia="Arial" w:hAnsi="Arial"/>
          <w:sz w:val="17"/>
          <w:szCs w:val="17"/>
          <w:b w:val="1"/>
          <w:bCs w:val="1"/>
          <w:color w:val="auto"/>
        </w:rPr>
        <w:t xml:space="preserve">SECTION 1504. </w:t>
      </w:r>
      <w:r>
        <w:rPr>
          <w:rFonts w:ascii="Arial" w:cs="Arial" w:eastAsia="Arial" w:hAnsi="Arial"/>
          <w:sz w:val="17"/>
          <w:szCs w:val="17"/>
          <w:b w:val="1"/>
          <w:bCs w:val="1"/>
          <w:u w:val="single" w:color="auto"/>
          <w:color w:val="auto"/>
        </w:rPr>
        <w:t>Quorum; Action</w:t>
      </w:r>
      <w:r>
        <w:rPr>
          <w:rFonts w:ascii="Arial" w:cs="Arial" w:eastAsia="Arial" w:hAnsi="Arial"/>
          <w:sz w:val="17"/>
          <w:szCs w:val="17"/>
          <w:color w:val="auto"/>
        </w:rPr>
        <w:t>. The Persons entitled to vote a majority in principal amount of the Outstanding Securities of a series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 quorum for a meeting of Holders of Securities of such series; provided, however,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provided, however,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7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7" w:lineRule="exact"/>
        <w:rPr>
          <w:sz w:val="20"/>
          <w:szCs w:val="20"/>
          <w:color w:val="auto"/>
        </w:rPr>
      </w:pPr>
    </w:p>
    <w:p>
      <w:pPr>
        <w:ind w:left="2160" w:hanging="208"/>
        <w:spacing w:after="0"/>
        <w:tabs>
          <w:tab w:leader="none" w:pos="2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25" w:lineRule="exact"/>
        <w:rPr>
          <w:rFonts w:ascii="Arial" w:cs="Arial" w:eastAsia="Arial" w:hAnsi="Arial"/>
          <w:sz w:val="18"/>
          <w:szCs w:val="18"/>
          <w:color w:val="auto"/>
        </w:rPr>
      </w:pPr>
    </w:p>
    <w:p>
      <w:pPr>
        <w:ind w:right="120" w:firstLine="1952"/>
        <w:spacing w:after="0" w:line="263" w:lineRule="auto"/>
        <w:tabs>
          <w:tab w:leader="none" w:pos="220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b w:val="1"/>
          <w:bCs w:val="1"/>
          <w:color w:val="auto"/>
        </w:rPr>
        <w:t xml:space="preserve">SECTION 1505. </w:t>
      </w:r>
      <w:r>
        <w:rPr>
          <w:rFonts w:ascii="Arial" w:cs="Arial" w:eastAsia="Arial" w:hAnsi="Arial"/>
          <w:sz w:val="18"/>
          <w:szCs w:val="18"/>
          <w:b w:val="1"/>
          <w:bCs w:val="1"/>
          <w:u w:val="single" w:color="auto"/>
          <w:color w:val="auto"/>
        </w:rPr>
        <w:t>Determination of Voting Rights; Conduct and Adjournment of Meetings</w:t>
      </w:r>
      <w:r>
        <w:rPr>
          <w:rFonts w:ascii="Arial" w:cs="Arial" w:eastAsia="Arial" w:hAnsi="Arial"/>
          <w:sz w:val="18"/>
          <w:szCs w:val="18"/>
          <w:color w:val="auto"/>
        </w:rPr>
        <w:t>.</w:t>
      </w:r>
    </w:p>
    <w:p>
      <w:pPr>
        <w:spacing w:after="0" w:line="229" w:lineRule="exact"/>
        <w:rPr>
          <w:sz w:val="20"/>
          <w:szCs w:val="20"/>
          <w:color w:val="auto"/>
        </w:rPr>
      </w:pPr>
    </w:p>
    <w:p>
      <w:pPr>
        <w:ind w:right="60" w:firstLine="656"/>
        <w:spacing w:after="0" w:line="271" w:lineRule="auto"/>
        <w:tabs>
          <w:tab w:leader="none" w:pos="892"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78" w:lineRule="exact"/>
        <w:rPr>
          <w:rFonts w:ascii="Arial" w:cs="Arial" w:eastAsia="Arial" w:hAnsi="Arial"/>
          <w:sz w:val="17"/>
          <w:szCs w:val="17"/>
          <w:color w:val="auto"/>
        </w:rPr>
      </w:pPr>
    </w:p>
    <w:p>
      <w:pPr>
        <w:ind w:right="160" w:firstLine="656"/>
        <w:spacing w:after="0" w:line="301" w:lineRule="auto"/>
        <w:tabs>
          <w:tab w:leader="none" w:pos="90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7" w:lineRule="exact"/>
        <w:rPr>
          <w:rFonts w:ascii="Arial" w:cs="Arial" w:eastAsia="Arial" w:hAnsi="Arial"/>
          <w:sz w:val="16"/>
          <w:szCs w:val="16"/>
          <w:color w:val="auto"/>
        </w:rPr>
      </w:pPr>
    </w:p>
    <w:p>
      <w:pPr>
        <w:ind w:right="80" w:firstLine="656"/>
        <w:spacing w:after="0" w:line="259" w:lineRule="auto"/>
        <w:tabs>
          <w:tab w:leader="none" w:pos="8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any meeting each Holder of a Security of such series or proxy shall be entitled to one vote for each $1,000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right="120" w:firstLine="656"/>
        <w:spacing w:after="0" w:line="263" w:lineRule="auto"/>
        <w:tabs>
          <w:tab w:leader="none" w:pos="9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1506. </w:t>
      </w:r>
      <w:r>
        <w:rPr>
          <w:rFonts w:ascii="Arial" w:cs="Arial" w:eastAsia="Arial" w:hAnsi="Arial"/>
          <w:sz w:val="17"/>
          <w:szCs w:val="17"/>
          <w:b w:val="1"/>
          <w:bCs w:val="1"/>
          <w:u w:val="single" w:color="auto"/>
          <w:color w:val="auto"/>
        </w:rPr>
        <w:t>Counting Votes and Recording Action of Meetings</w:t>
      </w:r>
      <w:r>
        <w:rPr>
          <w:rFonts w:ascii="Arial" w:cs="Arial" w:eastAsia="Arial" w:hAnsi="Arial"/>
          <w:sz w:val="17"/>
          <w:szCs w:val="17"/>
          <w:color w:val="auto"/>
        </w:rPr>
        <w:t>. The vote upon any resolution submitted to any meeting of 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CONVERSION OF SECURITIES</w:t>
      </w:r>
    </w:p>
    <w:p>
      <w:pPr>
        <w:spacing w:after="0" w:line="20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SECTION 1601. </w:t>
      </w:r>
      <w:r>
        <w:rPr>
          <w:rFonts w:ascii="Arial" w:cs="Arial" w:eastAsia="Arial" w:hAnsi="Arial"/>
          <w:sz w:val="16"/>
          <w:szCs w:val="16"/>
          <w:b w:val="1"/>
          <w:bCs w:val="1"/>
          <w:u w:val="single" w:color="auto"/>
          <w:color w:val="auto"/>
        </w:rPr>
        <w:t>Applicability of Article; Conversion Privilege and Conversion Price</w:t>
      </w:r>
      <w:r>
        <w:rPr>
          <w:rFonts w:ascii="Arial" w:cs="Arial" w:eastAsia="Arial" w:hAnsi="Arial"/>
          <w:sz w:val="16"/>
          <w:szCs w:val="16"/>
          <w:color w:val="auto"/>
        </w:rPr>
        <w:t>. Securities of any series which are convertible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1604.</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case the Company shall, by dividend or otherwise, declare or make a distribution on its Common Stock referred to in paragraph (4) of Section 1604, the Holder of each Security, upon the conversion thereof pursuant to this Article Sixteen subsequent to the close of business on the date fixed for the determination of stockholders entitled to receive such distribution and prior to the effectiveness of the Conversion Price adjustment in respect of such distribution pursuant to paragraph (4) of Section 1604, shall be entitled to receive for each share of Common Stock into which such Security is converted, the portion of the evidence of indebtedness, shares of Capital Stock or assets so distributed applicable to one share of Common Stock; provided, however,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6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b w:val="1"/>
          <w:bCs w:val="1"/>
          <w:color w:val="auto"/>
        </w:rPr>
        <w:t xml:space="preserve">SECTION 1602. </w:t>
      </w:r>
      <w:r>
        <w:rPr>
          <w:rFonts w:ascii="Arial" w:cs="Arial" w:eastAsia="Arial" w:hAnsi="Arial"/>
          <w:sz w:val="16"/>
          <w:szCs w:val="16"/>
          <w:b w:val="1"/>
          <w:bCs w:val="1"/>
          <w:u w:val="single" w:color="auto"/>
          <w:color w:val="auto"/>
        </w:rPr>
        <w:t>Exercise of Conversion Privilege</w:t>
      </w:r>
      <w:r>
        <w:rPr>
          <w:rFonts w:ascii="Arial" w:cs="Arial" w:eastAsia="Arial" w:hAnsi="Arial"/>
          <w:sz w:val="16"/>
          <w:szCs w:val="16"/>
          <w:color w:val="auto"/>
        </w:rPr>
        <w:t>. In order to exercise the conversion privilege, the Holder of any Security to be converted</w:t>
      </w:r>
      <w:r>
        <w:rPr>
          <w:rFonts w:ascii="Arial" w:cs="Arial" w:eastAsia="Arial" w:hAnsi="Arial"/>
          <w:sz w:val="16"/>
          <w:szCs w:val="16"/>
          <w:b w:val="1"/>
          <w:bCs w:val="1"/>
          <w:color w:val="auto"/>
        </w:rPr>
        <w:t xml:space="preserve"> </w:t>
      </w:r>
      <w:r>
        <w:rPr>
          <w:rFonts w:ascii="Arial" w:cs="Arial" w:eastAsia="Arial" w:hAnsi="Arial"/>
          <w:sz w:val="16"/>
          <w:szCs w:val="16"/>
          <w:color w:val="auto"/>
        </w:rPr>
        <w:t>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6" w:name="page107"/>
    <w:bookmarkEnd w:id="106"/>
    <w:p>
      <w:pPr>
        <w:ind w:right="40" w:firstLine="648"/>
        <w:spacing w:after="0" w:line="275" w:lineRule="auto"/>
        <w:rPr>
          <w:sz w:val="20"/>
          <w:szCs w:val="20"/>
          <w:color w:val="auto"/>
        </w:rPr>
      </w:pPr>
      <w:r>
        <w:rPr>
          <w:rFonts w:ascii="Arial" w:cs="Arial" w:eastAsia="Arial" w:hAnsi="Arial"/>
          <w:sz w:val="17"/>
          <w:szCs w:val="17"/>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1603.</w:t>
      </w:r>
    </w:p>
    <w:p>
      <w:pPr>
        <w:spacing w:after="0" w:line="19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3"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b w:val="1"/>
          <w:bCs w:val="1"/>
          <w:color w:val="auto"/>
        </w:rPr>
        <w:t xml:space="preserve">SECTION 1603. </w:t>
      </w:r>
      <w:r>
        <w:rPr>
          <w:rFonts w:ascii="Arial" w:cs="Arial" w:eastAsia="Arial" w:hAnsi="Arial"/>
          <w:sz w:val="16"/>
          <w:szCs w:val="16"/>
          <w:b w:val="1"/>
          <w:bCs w:val="1"/>
          <w:u w:val="single" w:color="auto"/>
          <w:color w:val="auto"/>
        </w:rPr>
        <w:t>Fractions of Shares</w:t>
      </w:r>
      <w:r>
        <w:rPr>
          <w:rFonts w:ascii="Arial" w:cs="Arial" w:eastAsia="Arial" w:hAnsi="Arial"/>
          <w:sz w:val="16"/>
          <w:szCs w:val="16"/>
          <w:color w:val="auto"/>
        </w:rPr>
        <w:t>. No fractional shares of Common Stock shall be issued upon conversion of Securities. If more than one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SECTION 1604. </w:t>
      </w:r>
      <w:r>
        <w:rPr>
          <w:rFonts w:ascii="Arial" w:cs="Arial" w:eastAsia="Arial" w:hAnsi="Arial"/>
          <w:sz w:val="17"/>
          <w:szCs w:val="17"/>
          <w:b w:val="1"/>
          <w:bCs w:val="1"/>
          <w:u w:val="single" w:color="auto"/>
          <w:color w:val="auto"/>
        </w:rPr>
        <w:t>Adjustment of Conversion Price</w:t>
      </w:r>
      <w:r>
        <w:rPr>
          <w:rFonts w:ascii="Arial" w:cs="Arial" w:eastAsia="Arial" w:hAnsi="Arial"/>
          <w:sz w:val="17"/>
          <w:szCs w:val="17"/>
          <w:color w:val="auto"/>
        </w:rPr>
        <w:t>. The Conversion Price shall be subject to adjustment from time to time as follows:</w:t>
      </w:r>
    </w:p>
    <w:p>
      <w:pPr>
        <w:spacing w:after="0" w:line="241" w:lineRule="exact"/>
        <w:rPr>
          <w:sz w:val="20"/>
          <w:szCs w:val="20"/>
          <w:color w:val="auto"/>
        </w:rPr>
      </w:pPr>
    </w:p>
    <w:p>
      <w:pPr>
        <w:ind w:firstLine="1304"/>
        <w:spacing w:after="0" w:line="269" w:lineRule="auto"/>
        <w:tabs>
          <w:tab w:leader="none" w:pos="1551"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7" w:name="page108"/>
    <w:bookmarkEnd w:id="107"/>
    <w:p>
      <w:pPr>
        <w:ind w:left="-20" w:firstLine="1304"/>
        <w:spacing w:after="0" w:line="268" w:lineRule="auto"/>
        <w:tabs>
          <w:tab w:leader="none" w:pos="1531" w:val="left"/>
        </w:tabs>
        <w:numPr>
          <w:ilvl w:val="0"/>
          <w:numId w:val="90"/>
        </w:numPr>
        <w:rPr>
          <w:rFonts w:ascii="Arial" w:cs="Arial" w:eastAsia="Arial" w:hAnsi="Arial"/>
          <w:sz w:val="17"/>
          <w:szCs w:val="17"/>
          <w:color w:val="auto"/>
        </w:rPr>
      </w:pPr>
      <w:r>
        <w:rPr>
          <w:rFonts w:ascii="Arial" w:cs="Arial" w:eastAsia="Arial" w:hAnsi="Arial"/>
          <w:sz w:val="17"/>
          <w:szCs w:val="17"/>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1604,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1604) of the Common Stock of the Company on the Rights Record Date.</w:t>
      </w:r>
    </w:p>
    <w:p>
      <w:pPr>
        <w:spacing w:after="0" w:line="179" w:lineRule="exact"/>
        <w:rPr>
          <w:rFonts w:ascii="Arial" w:cs="Arial" w:eastAsia="Arial" w:hAnsi="Arial"/>
          <w:sz w:val="17"/>
          <w:szCs w:val="17"/>
          <w:color w:val="auto"/>
        </w:rPr>
      </w:pPr>
    </w:p>
    <w:p>
      <w:pPr>
        <w:ind w:left="-20" w:right="20" w:firstLine="1304"/>
        <w:spacing w:after="0" w:line="273" w:lineRule="auto"/>
        <w:tabs>
          <w:tab w:leader="none" w:pos="1531"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77" w:lineRule="exact"/>
        <w:rPr>
          <w:rFonts w:ascii="Arial" w:cs="Arial" w:eastAsia="Arial" w:hAnsi="Arial"/>
          <w:sz w:val="17"/>
          <w:szCs w:val="17"/>
          <w:color w:val="auto"/>
        </w:rPr>
      </w:pPr>
    </w:p>
    <w:p>
      <w:pPr>
        <w:ind w:left="-20" w:firstLine="1304"/>
        <w:spacing w:after="0" w:line="285" w:lineRule="auto"/>
        <w:tabs>
          <w:tab w:leader="none" w:pos="1531" w:val="left"/>
        </w:tabs>
        <w:numPr>
          <w:ilvl w:val="0"/>
          <w:numId w:val="90"/>
        </w:numPr>
        <w:rPr>
          <w:rFonts w:ascii="Arial" w:cs="Arial" w:eastAsia="Arial" w:hAnsi="Arial"/>
          <w:sz w:val="16"/>
          <w:szCs w:val="16"/>
          <w:color w:val="auto"/>
        </w:rPr>
      </w:pPr>
      <w:r>
        <w:rPr>
          <w:rFonts w:ascii="Arial" w:cs="Arial" w:eastAsia="Arial" w:hAnsi="Arial"/>
          <w:sz w:val="16"/>
          <w:szCs w:val="16"/>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1604. In the event that, with respect to any distribution to which this paragraph (4) of Section 1604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08" w:name="page109"/>
    <w:bookmarkEnd w:id="108"/>
    <w:p>
      <w:pPr>
        <w:ind w:left="-8" w:right="140" w:firstLine="1304"/>
        <w:spacing w:after="0" w:line="275" w:lineRule="auto"/>
        <w:tabs>
          <w:tab w:leader="none" w:pos="1543"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Company may, but shall not be required to, make such reductions in the Conversion Price, in addition to those required by paragraphs (1), (2), (3), and (4) of this Section 1604,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76" w:lineRule="exact"/>
        <w:rPr>
          <w:rFonts w:ascii="Arial" w:cs="Arial" w:eastAsia="Arial" w:hAnsi="Arial"/>
          <w:sz w:val="17"/>
          <w:szCs w:val="17"/>
          <w:color w:val="auto"/>
        </w:rPr>
      </w:pPr>
    </w:p>
    <w:p>
      <w:pPr>
        <w:jc w:val="both"/>
        <w:ind w:left="-8" w:right="80" w:firstLine="1304"/>
        <w:spacing w:after="0" w:line="291" w:lineRule="auto"/>
        <w:tabs>
          <w:tab w:leader="none" w:pos="1543" w:val="left"/>
        </w:tabs>
        <w:numPr>
          <w:ilvl w:val="1"/>
          <w:numId w:val="91"/>
        </w:numPr>
        <w:rPr>
          <w:rFonts w:ascii="Arial" w:cs="Arial" w:eastAsia="Arial" w:hAnsi="Arial"/>
          <w:sz w:val="16"/>
          <w:szCs w:val="16"/>
          <w:color w:val="auto"/>
        </w:rPr>
      </w:pPr>
      <w:r>
        <w:rPr>
          <w:rFonts w:ascii="Arial" w:cs="Arial" w:eastAsia="Arial" w:hAnsi="Arial"/>
          <w:sz w:val="16"/>
          <w:szCs w:val="16"/>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w:t>
      </w:r>
    </w:p>
    <w:p>
      <w:pPr>
        <w:ind w:left="-8" w:firstLine="8"/>
        <w:spacing w:after="0" w:line="268" w:lineRule="auto"/>
        <w:tabs>
          <w:tab w:leader="none" w:pos="257" w:val="left"/>
        </w:tabs>
        <w:numPr>
          <w:ilvl w:val="0"/>
          <w:numId w:val="92"/>
        </w:numPr>
        <w:rPr>
          <w:rFonts w:ascii="Arial" w:cs="Arial" w:eastAsia="Arial" w:hAnsi="Arial"/>
          <w:sz w:val="17"/>
          <w:szCs w:val="17"/>
          <w:color w:val="auto"/>
        </w:rPr>
      </w:pPr>
      <w:r>
        <w:rPr>
          <w:rFonts w:ascii="Arial" w:cs="Arial" w:eastAsia="Arial" w:hAnsi="Arial"/>
          <w:sz w:val="17"/>
          <w:szCs w:val="17"/>
          <w:color w:val="auto"/>
        </w:rPr>
        <w:t>are not exercisable and (iii) are also issued or distributed in respect of future issuances of Common Stock, in each case in clauses (i) through (iii) until the occurrence of a specified event or events (“Trigger Events”), shall for purposes of this Section 1604 not be deemed issued or distributed until the occurrence of the earliest Trigger Event. Each share of Common Stock issued upon conversion of Securities pursuant to this Article Sixteen shall be entitled to receive the appropriate number of Common Stock purchase rights (the “Rights”), if any, and the certificates representing the Common Stock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181" w:lineRule="exact"/>
        <w:rPr>
          <w:rFonts w:ascii="Arial" w:cs="Arial" w:eastAsia="Arial" w:hAnsi="Arial"/>
          <w:sz w:val="17"/>
          <w:szCs w:val="17"/>
          <w:color w:val="auto"/>
        </w:rPr>
      </w:pPr>
    </w:p>
    <w:p>
      <w:pPr>
        <w:ind w:left="-8" w:right="80" w:firstLine="1304"/>
        <w:spacing w:after="0" w:line="263" w:lineRule="auto"/>
        <w:tabs>
          <w:tab w:leader="none" w:pos="1543"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For the purpose of any computation under paragraph (2), (4) or (5) of this Section 1604,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83" w:lineRule="exact"/>
        <w:rPr>
          <w:rFonts w:ascii="Arial" w:cs="Arial" w:eastAsia="Arial" w:hAnsi="Arial"/>
          <w:sz w:val="18"/>
          <w:szCs w:val="18"/>
          <w:color w:val="auto"/>
        </w:rPr>
      </w:pPr>
    </w:p>
    <w:p>
      <w:pPr>
        <w:ind w:left="-8" w:firstLine="1304"/>
        <w:spacing w:after="0" w:line="259" w:lineRule="auto"/>
        <w:tabs>
          <w:tab w:leader="none" w:pos="1543"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 adjustment in the Conversion Price shall be required unless such adjustment would require an increase or decrease of at least 1% in the Conversion Price; provided, however, that any adjustments which by reason of this paragraph (8) are not required to be made shall be carried forward and taken into account in any subsequent adjustment. All calculations under this Article Sixteen shall be made to the nearest cent or to the nearest one-hundredth of a share of Common Stock, as the case may be.</w:t>
      </w:r>
    </w:p>
    <w:p>
      <w:pPr>
        <w:spacing w:after="0" w:line="186" w:lineRule="exact"/>
        <w:rPr>
          <w:rFonts w:ascii="Arial" w:cs="Arial" w:eastAsia="Arial" w:hAnsi="Arial"/>
          <w:sz w:val="18"/>
          <w:szCs w:val="18"/>
          <w:color w:val="auto"/>
        </w:rPr>
      </w:pPr>
    </w:p>
    <w:p>
      <w:pPr>
        <w:ind w:left="-8" w:right="20" w:firstLine="1304"/>
        <w:spacing w:after="0" w:line="255" w:lineRule="auto"/>
        <w:tabs>
          <w:tab w:leader="none" w:pos="1543"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09" w:name="page110"/>
    <w:bookmarkEnd w:id="109"/>
    <w:p>
      <w:pPr>
        <w:jc w:val="both"/>
        <w:ind w:left="-8" w:right="140" w:firstLine="1304"/>
        <w:spacing w:after="0" w:line="301" w:lineRule="auto"/>
        <w:tabs>
          <w:tab w:leader="none" w:pos="1633" w:val="left"/>
        </w:tabs>
        <w:numPr>
          <w:ilvl w:val="1"/>
          <w:numId w:val="93"/>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1604,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57" w:lineRule="exact"/>
        <w:rPr>
          <w:rFonts w:ascii="Arial" w:cs="Arial" w:eastAsia="Arial" w:hAnsi="Arial"/>
          <w:sz w:val="16"/>
          <w:szCs w:val="16"/>
          <w:color w:val="auto"/>
        </w:rPr>
      </w:pPr>
    </w:p>
    <w:p>
      <w:pPr>
        <w:ind w:left="1632" w:hanging="336"/>
        <w:spacing w:after="0"/>
        <w:tabs>
          <w:tab w:leader="none" w:pos="1632"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 the event that this Article Sixteen requires adjustments to the Conversion Price under more than one of paragraphs (1), (2), (3) or</w:t>
      </w:r>
    </w:p>
    <w:p>
      <w:pPr>
        <w:spacing w:after="0" w:line="46" w:lineRule="exact"/>
        <w:rPr>
          <w:rFonts w:ascii="Arial" w:cs="Arial" w:eastAsia="Arial" w:hAnsi="Arial"/>
          <w:sz w:val="16"/>
          <w:szCs w:val="16"/>
          <w:color w:val="auto"/>
        </w:rPr>
      </w:pPr>
    </w:p>
    <w:p>
      <w:pPr>
        <w:ind w:left="-8" w:right="20" w:firstLine="8"/>
        <w:spacing w:after="0" w:line="251" w:lineRule="auto"/>
        <w:tabs>
          <w:tab w:leader="none" w:pos="2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of this 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 (1) of this Section 1604, third, the provisions of paragraph (4) of this Section 1604 and, fourth, the provisions of paragraph (2) of this Section 1604. Anything herein to the contrary notwithstanding, no single event shall require or result in duplicative adjustments in 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Sixteen with respect to the Common Stock in this Article Sixteen.</w:t>
      </w:r>
    </w:p>
    <w:p>
      <w:pPr>
        <w:spacing w:after="0" w:line="193"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 xml:space="preserve">SECTION 1605. </w:t>
      </w:r>
      <w:r>
        <w:rPr>
          <w:rFonts w:ascii="Arial" w:cs="Arial" w:eastAsia="Arial" w:hAnsi="Arial"/>
          <w:sz w:val="18"/>
          <w:szCs w:val="18"/>
          <w:b w:val="1"/>
          <w:bCs w:val="1"/>
          <w:u w:val="single" w:color="auto"/>
          <w:color w:val="auto"/>
        </w:rPr>
        <w:t>Notice of Adjustments of Conversion Price</w:t>
      </w:r>
      <w:r>
        <w:rPr>
          <w:rFonts w:ascii="Arial" w:cs="Arial" w:eastAsia="Arial" w:hAnsi="Arial"/>
          <w:sz w:val="18"/>
          <w:szCs w:val="18"/>
          <w:color w:val="auto"/>
        </w:rPr>
        <w:t>. Whenever the Conversion Price is adjusted as herein provided:</w:t>
      </w:r>
    </w:p>
    <w:p>
      <w:pPr>
        <w:spacing w:after="0" w:line="229" w:lineRule="exact"/>
        <w:rPr>
          <w:sz w:val="20"/>
          <w:szCs w:val="20"/>
          <w:color w:val="auto"/>
        </w:rPr>
      </w:pPr>
    </w:p>
    <w:p>
      <w:pPr>
        <w:ind w:left="-8" w:right="100" w:firstLine="1304"/>
        <w:spacing w:after="0" w:line="259" w:lineRule="auto"/>
        <w:tabs>
          <w:tab w:leader="none" w:pos="154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86" w:lineRule="exact"/>
        <w:rPr>
          <w:rFonts w:ascii="Arial" w:cs="Arial" w:eastAsia="Arial" w:hAnsi="Arial"/>
          <w:sz w:val="18"/>
          <w:szCs w:val="18"/>
          <w:color w:val="auto"/>
        </w:rPr>
      </w:pPr>
    </w:p>
    <w:p>
      <w:pPr>
        <w:ind w:left="-8" w:firstLine="1304"/>
        <w:spacing w:after="0" w:line="263" w:lineRule="auto"/>
        <w:tabs>
          <w:tab w:leader="none" w:pos="1543"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80"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 xml:space="preserve">SECTION 1606. </w:t>
      </w:r>
      <w:r>
        <w:rPr>
          <w:rFonts w:ascii="Arial" w:cs="Arial" w:eastAsia="Arial" w:hAnsi="Arial"/>
          <w:sz w:val="18"/>
          <w:szCs w:val="18"/>
          <w:b w:val="1"/>
          <w:bCs w:val="1"/>
          <w:u w:val="single" w:color="auto"/>
          <w:color w:val="auto"/>
        </w:rPr>
        <w:t>Notice of Certain Corporate Action</w:t>
      </w:r>
      <w:r>
        <w:rPr>
          <w:rFonts w:ascii="Arial" w:cs="Arial" w:eastAsia="Arial" w:hAnsi="Arial"/>
          <w:sz w:val="18"/>
          <w:szCs w:val="18"/>
          <w:color w:val="auto"/>
        </w:rPr>
        <w:t>. In case:</w:t>
      </w:r>
    </w:p>
    <w:p>
      <w:pPr>
        <w:spacing w:after="0" w:line="229" w:lineRule="exact"/>
        <w:rPr>
          <w:sz w:val="20"/>
          <w:szCs w:val="20"/>
          <w:color w:val="auto"/>
        </w:rPr>
      </w:pPr>
    </w:p>
    <w:p>
      <w:pPr>
        <w:ind w:left="1552" w:hanging="256"/>
        <w:spacing w:after="0"/>
        <w:tabs>
          <w:tab w:leader="none" w:pos="1552"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shall take any action that would require a Conversion Price adjustment pursuant to Section 1604 or Section 1611; or</w:t>
      </w:r>
    </w:p>
    <w:p>
      <w:pPr>
        <w:spacing w:after="0" w:line="248" w:lineRule="exact"/>
        <w:rPr>
          <w:rFonts w:ascii="Arial" w:cs="Arial" w:eastAsia="Arial" w:hAnsi="Arial"/>
          <w:sz w:val="16"/>
          <w:szCs w:val="16"/>
          <w:color w:val="auto"/>
        </w:rPr>
      </w:pPr>
    </w:p>
    <w:p>
      <w:pPr>
        <w:ind w:left="-8" w:right="160" w:firstLine="1304"/>
        <w:spacing w:after="0" w:line="263" w:lineRule="auto"/>
        <w:tabs>
          <w:tab w:leader="none" w:pos="15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83" w:lineRule="exact"/>
        <w:rPr>
          <w:rFonts w:ascii="Arial" w:cs="Arial" w:eastAsia="Arial" w:hAnsi="Arial"/>
          <w:sz w:val="18"/>
          <w:szCs w:val="18"/>
          <w:color w:val="auto"/>
        </w:rPr>
      </w:pPr>
    </w:p>
    <w:p>
      <w:pPr>
        <w:ind w:left="-8" w:firstLine="1304"/>
        <w:spacing w:after="0" w:line="270" w:lineRule="auto"/>
        <w:tabs>
          <w:tab w:leader="none" w:pos="1543"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10" w:name="page111"/>
    <w:bookmarkEnd w:id="110"/>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1607. </w:t>
      </w:r>
      <w:r>
        <w:rPr>
          <w:rFonts w:ascii="Arial" w:cs="Arial" w:eastAsia="Arial" w:hAnsi="Arial"/>
          <w:sz w:val="18"/>
          <w:szCs w:val="18"/>
          <w:b w:val="1"/>
          <w:bCs w:val="1"/>
          <w:u w:val="single" w:color="auto"/>
          <w:color w:val="auto"/>
        </w:rPr>
        <w:t>Company to Reserve Common Stock</w:t>
      </w:r>
      <w:r>
        <w:rPr>
          <w:rFonts w:ascii="Arial" w:cs="Arial" w:eastAsia="Arial" w:hAnsi="Arial"/>
          <w:sz w:val="18"/>
          <w:szCs w:val="18"/>
          <w:color w:val="auto"/>
        </w:rPr>
        <w:t>. The Company shall at all times reserve and keep available, free from preemptive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SECTION 1608. </w:t>
      </w:r>
      <w:r>
        <w:rPr>
          <w:rFonts w:ascii="Arial" w:cs="Arial" w:eastAsia="Arial" w:hAnsi="Arial"/>
          <w:sz w:val="17"/>
          <w:szCs w:val="17"/>
          <w:b w:val="1"/>
          <w:bCs w:val="1"/>
          <w:u w:val="single" w:color="auto"/>
          <w:color w:val="auto"/>
        </w:rPr>
        <w:t>Taxes on Conversion</w:t>
      </w:r>
      <w:r>
        <w:rPr>
          <w:rFonts w:ascii="Arial" w:cs="Arial" w:eastAsia="Arial" w:hAnsi="Arial"/>
          <w:sz w:val="17"/>
          <w:szCs w:val="17"/>
          <w:color w:val="auto"/>
        </w:rPr>
        <w:t>. The Company will pay any and all taxes that may be payable in respect of the issue or delivery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68" w:lineRule="exact"/>
        <w:rPr>
          <w:sz w:val="20"/>
          <w:szCs w:val="20"/>
          <w:color w:val="auto"/>
        </w:rPr>
      </w:pPr>
    </w:p>
    <w:p>
      <w:pPr>
        <w:ind w:right="260" w:firstLine="648"/>
        <w:spacing w:after="0" w:line="289" w:lineRule="auto"/>
        <w:rPr>
          <w:sz w:val="20"/>
          <w:szCs w:val="20"/>
          <w:color w:val="auto"/>
        </w:rPr>
      </w:pPr>
      <w:r>
        <w:rPr>
          <w:rFonts w:ascii="Arial" w:cs="Arial" w:eastAsia="Arial" w:hAnsi="Arial"/>
          <w:sz w:val="17"/>
          <w:szCs w:val="17"/>
          <w:b w:val="1"/>
          <w:bCs w:val="1"/>
          <w:color w:val="auto"/>
        </w:rPr>
        <w:t xml:space="preserve">SECTION 1609. </w:t>
      </w:r>
      <w:r>
        <w:rPr>
          <w:rFonts w:ascii="Arial" w:cs="Arial" w:eastAsia="Arial" w:hAnsi="Arial"/>
          <w:sz w:val="17"/>
          <w:szCs w:val="17"/>
          <w:b w:val="1"/>
          <w:bCs w:val="1"/>
          <w:u w:val="single" w:color="auto"/>
          <w:color w:val="auto"/>
        </w:rPr>
        <w:t>Covenants as to Common Stock</w:t>
      </w:r>
      <w:r>
        <w:rPr>
          <w:rFonts w:ascii="Arial" w:cs="Arial" w:eastAsia="Arial" w:hAnsi="Arial"/>
          <w:sz w:val="17"/>
          <w:szCs w:val="17"/>
          <w:color w:val="auto"/>
        </w:rPr>
        <w:t>. The Company covenants that all shares of Common Stock which may be issued upon</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162"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80" w:lineRule="exact"/>
        <w:rPr>
          <w:sz w:val="20"/>
          <w:szCs w:val="20"/>
          <w:color w:val="auto"/>
        </w:rPr>
      </w:pPr>
    </w:p>
    <w:p>
      <w:pPr>
        <w:jc w:val="both"/>
        <w:ind w:right="120" w:firstLine="648"/>
        <w:spacing w:after="0" w:line="282" w:lineRule="auto"/>
        <w:rPr>
          <w:sz w:val="20"/>
          <w:szCs w:val="20"/>
          <w:color w:val="auto"/>
        </w:rPr>
      </w:pPr>
      <w:r>
        <w:rPr>
          <w:rFonts w:ascii="Arial" w:cs="Arial" w:eastAsia="Arial" w:hAnsi="Arial"/>
          <w:sz w:val="18"/>
          <w:szCs w:val="18"/>
          <w:b w:val="1"/>
          <w:bCs w:val="1"/>
          <w:color w:val="auto"/>
        </w:rPr>
        <w:t xml:space="preserve">SECTION 1610. </w:t>
      </w:r>
      <w:r>
        <w:rPr>
          <w:rFonts w:ascii="Arial" w:cs="Arial" w:eastAsia="Arial" w:hAnsi="Arial"/>
          <w:sz w:val="18"/>
          <w:szCs w:val="18"/>
          <w:b w:val="1"/>
          <w:bCs w:val="1"/>
          <w:u w:val="single" w:color="auto"/>
          <w:color w:val="auto"/>
        </w:rPr>
        <w:t>Cancellation of Converted Securities</w:t>
      </w:r>
      <w:r>
        <w:rPr>
          <w:rFonts w:ascii="Arial" w:cs="Arial" w:eastAsia="Arial" w:hAnsi="Arial"/>
          <w:sz w:val="18"/>
          <w:szCs w:val="18"/>
          <w:color w:val="auto"/>
        </w:rPr>
        <w:t>. All Securities delivered for conversion shall be delivered to the Trustee to be cancelled</w:t>
      </w:r>
      <w:r>
        <w:rPr>
          <w:rFonts w:ascii="Arial" w:cs="Arial" w:eastAsia="Arial" w:hAnsi="Arial"/>
          <w:sz w:val="18"/>
          <w:szCs w:val="18"/>
          <w:b w:val="1"/>
          <w:bCs w:val="1"/>
          <w:color w:val="auto"/>
        </w:rPr>
        <w:t xml:space="preserve"> </w:t>
      </w:r>
      <w:r>
        <w:rPr>
          <w:rFonts w:ascii="Arial" w:cs="Arial" w:eastAsia="Arial" w:hAnsi="Arial"/>
          <w:sz w:val="18"/>
          <w:szCs w:val="18"/>
          <w:color w:val="auto"/>
        </w:rPr>
        <w:t>by or at the direction of the Trustee, which shall dispose of the same as provided in Section 309.</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1611. </w:t>
      </w:r>
      <w:r>
        <w:rPr>
          <w:rFonts w:ascii="Arial" w:cs="Arial" w:eastAsia="Arial" w:hAnsi="Arial"/>
          <w:sz w:val="16"/>
          <w:szCs w:val="16"/>
          <w:b w:val="1"/>
          <w:bCs w:val="1"/>
          <w:u w:val="single" w:color="auto"/>
          <w:color w:val="auto"/>
        </w:rPr>
        <w:t>Provisions in Case of Consolidation, Merger or Sale of Assets; Special Distributions</w:t>
      </w:r>
      <w:r>
        <w:rPr>
          <w:rFonts w:ascii="Arial" w:cs="Arial" w:eastAsia="Arial" w:hAnsi="Arial"/>
          <w:sz w:val="16"/>
          <w:szCs w:val="16"/>
          <w:color w:val="auto"/>
        </w:rPr>
        <w:t>. If any of the following shall occur,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namely: (i) any reclassification or change of outstanding shares of Common Stock issuable upon conversion of Securities (other than a change in par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from par value to no par value, or from no par value to par value, or as a result of a subdivision or combination), (ii) any consolidation or merger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the Company is a party other than a merger in which the Company is the continuing corporation and which does not result in any reclassification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change (other than a change in name, or par value, or from par value to no par value, or from no par value to par value or as a result of a subdivision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combination) in, outstanding shares of Common Stock or (iii) any sale or conveyance of all or substantially all of the property or business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an entirety, then the Person formed by such consolidation or resulting from such merger or which acquires such properties or assets, as the case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as a condition precedent to such transaction execute and deliver to the Trustee a supplemental indenture providing that the Holder of each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then outstanding shall have the right thereafter, during the period such Security shall be convertible as specified in Section 1601, to convert such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into the kind and amount of securities, cash and other property receivable, if any, upon such consolidation, merger, sale, transfer or lease by a holder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of the Company into which such Security might have been converted immediately prior to such consolidation,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merger, sale, transfer or lease; provided that the kind and amount of securities, cash and other property so receivable shall be determined on the basis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assumptions. The holder of Common Stock referred to in the foregoing sentence: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right="100" w:firstLine="1304"/>
        <w:spacing w:after="0" w:line="263" w:lineRule="auto"/>
        <w:tabs>
          <w:tab w:leader="none" w:pos="1551"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83" w:lineRule="exact"/>
        <w:rPr>
          <w:rFonts w:ascii="Arial" w:cs="Arial" w:eastAsia="Arial" w:hAnsi="Arial"/>
          <w:sz w:val="18"/>
          <w:szCs w:val="18"/>
          <w:color w:val="auto"/>
        </w:rPr>
      </w:pPr>
    </w:p>
    <w:p>
      <w:pPr>
        <w:ind w:right="100" w:firstLine="1304"/>
        <w:spacing w:after="0" w:line="296" w:lineRule="auto"/>
        <w:tabs>
          <w:tab w:leader="none" w:pos="1551" w:val="left"/>
        </w:tabs>
        <w:numPr>
          <w:ilvl w:val="0"/>
          <w:numId w:val="97"/>
        </w:numPr>
        <w:rPr>
          <w:rFonts w:ascii="Arial" w:cs="Arial" w:eastAsia="Arial" w:hAnsi="Arial"/>
          <w:sz w:val="16"/>
          <w:szCs w:val="16"/>
          <w:color w:val="auto"/>
        </w:rPr>
      </w:pPr>
      <w:r>
        <w:rPr>
          <w:rFonts w:ascii="Arial" w:cs="Arial" w:eastAsia="Arial" w:hAnsi="Arial"/>
          <w:sz w:val="16"/>
          <w:szCs w:val="16"/>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Common Stock).</w:t>
      </w:r>
    </w:p>
    <w:p>
      <w:pPr>
        <w:spacing w:after="0" w:line="16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1611 shall similarly apply to successive consolidations, mergers, sales, transfers or leases.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event the Company shall execute a supplemental indenture pursuant to this Section 1611,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If the Company makes a distribution to all holders of its Common Stock that constitutes an Unadjusted Distribution pursuant to the last sentence of paragraph (4) of Section 1604,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2" w:name="page113"/>
    <w:bookmarkEnd w:id="112"/>
    <w:p>
      <w:pPr>
        <w:ind w:firstLine="648"/>
        <w:spacing w:after="0" w:line="256" w:lineRule="auto"/>
        <w:rPr>
          <w:sz w:val="20"/>
          <w:szCs w:val="20"/>
          <w:color w:val="auto"/>
        </w:rPr>
      </w:pPr>
      <w:r>
        <w:rPr>
          <w:rFonts w:ascii="Arial" w:cs="Arial" w:eastAsia="Arial" w:hAnsi="Arial"/>
          <w:sz w:val="18"/>
          <w:szCs w:val="18"/>
          <w:b w:val="1"/>
          <w:bCs w:val="1"/>
          <w:color w:val="auto"/>
        </w:rPr>
        <w:t xml:space="preserve">SECTION 1612. </w:t>
      </w:r>
      <w:r>
        <w:rPr>
          <w:rFonts w:ascii="Arial" w:cs="Arial" w:eastAsia="Arial" w:hAnsi="Arial"/>
          <w:sz w:val="18"/>
          <w:szCs w:val="18"/>
          <w:b w:val="1"/>
          <w:bCs w:val="1"/>
          <w:u w:val="single" w:color="auto"/>
          <w:color w:val="auto"/>
        </w:rPr>
        <w:t>Trustee Adjustment Disclaimer; Company Determination Final</w:t>
      </w:r>
      <w:r>
        <w:rPr>
          <w:rFonts w:ascii="Arial" w:cs="Arial" w:eastAsia="Arial" w:hAnsi="Arial"/>
          <w:sz w:val="18"/>
          <w:szCs w:val="18"/>
          <w:color w:val="auto"/>
        </w:rPr>
        <w:t>. The Trustee has no duty to determine when an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 Article Sixteen is conclusive, absent manifest error.</w:t>
      </w:r>
    </w:p>
    <w:p>
      <w:pPr>
        <w:spacing w:after="0" w:line="187"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SECTION 1613. </w:t>
      </w:r>
      <w:r>
        <w:rPr>
          <w:rFonts w:ascii="Arial" w:cs="Arial" w:eastAsia="Arial" w:hAnsi="Arial"/>
          <w:sz w:val="18"/>
          <w:szCs w:val="18"/>
          <w:b w:val="1"/>
          <w:bCs w:val="1"/>
          <w:u w:val="single" w:color="auto"/>
          <w:color w:val="auto"/>
        </w:rPr>
        <w:t>When No Adjustment Required</w:t>
      </w:r>
      <w:r>
        <w:rPr>
          <w:rFonts w:ascii="Arial" w:cs="Arial" w:eastAsia="Arial" w:hAnsi="Arial"/>
          <w:sz w:val="18"/>
          <w:szCs w:val="18"/>
          <w:color w:val="auto"/>
        </w:rPr>
        <w:t>. Except as expressly set forth in Section 1604, no adjustment in the Conversion Price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4"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In addition, 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3"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 xml:space="preserve">SECTION 1614. </w:t>
      </w:r>
      <w:r>
        <w:rPr>
          <w:rFonts w:ascii="Arial" w:cs="Arial" w:eastAsia="Arial" w:hAnsi="Arial"/>
          <w:sz w:val="16"/>
          <w:szCs w:val="16"/>
          <w:b w:val="1"/>
          <w:bCs w:val="1"/>
          <w:u w:val="single" w:color="auto"/>
          <w:color w:val="auto"/>
        </w:rPr>
        <w:t>Equivalent Adjustments</w:t>
      </w:r>
      <w:r>
        <w:rPr>
          <w:rFonts w:ascii="Arial" w:cs="Arial" w:eastAsia="Arial" w:hAnsi="Arial"/>
          <w:sz w:val="16"/>
          <w:szCs w:val="16"/>
          <w:color w:val="auto"/>
        </w:rPr>
        <w:t>. In the event that, as a result of an adjustment made pursuant to Section 1604 above, the holder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Sixteen.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Indenture to be duly executed all as of the day and year first above written.</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NAME OF TRUSTEE</w:t>
      </w:r>
      <w:r>
        <w:rPr>
          <w:rFonts w:ascii="Arial" w:cs="Arial" w:eastAsia="Arial" w:hAnsi="Arial"/>
          <w:sz w:val="18"/>
          <w:szCs w:val="18"/>
          <w:b w:val="1"/>
          <w:bCs w:val="1"/>
          <w:color w:val="auto"/>
        </w:rPr>
        <w:t>],</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as Trustee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REDEEMABLE OR NON-REDEEMABLE SENIOR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[Face of Security]</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4" w:name="page115"/>
    <w:bookmarkEnd w:id="114"/>
    <w:p>
      <w:pPr>
        <w:ind w:right="100"/>
        <w:spacing w:after="0" w:line="287" w:lineRule="auto"/>
        <w:rPr>
          <w:sz w:val="20"/>
          <w:szCs w:val="20"/>
          <w:color w:val="auto"/>
        </w:rPr>
      </w:pPr>
      <w:r>
        <w:rPr>
          <w:rFonts w:ascii="Arial" w:cs="Arial" w:eastAsia="Arial" w:hAnsi="Arial"/>
          <w:sz w:val="16"/>
          <w:szCs w:val="16"/>
          <w:color w:val="auto"/>
        </w:rPr>
        <w:t>[If this Security is an Original Issue Discount Security, insert — FOR PURPOSES OF SECTION 1273 and 1275 OF THE UNITED STATES INTERNAL REVENUE CODE, THE AMOUNT OF ORIGINAL ISSUE DISCOUNT ON THIS SECURITY IS % OF ITS PRINCIPAL AMOUNT, THE ISSUE DATE IS ______________, 20__, AND THE YIELD TO MATURITY IS %. THE METHOD USED TO DETERMINE THE AMOUNT OF ORIGINAL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ISSUE DISCOUNT APPLICABLE TO THE SHORT ACCRUAL PERIOD OF ________________, 20__ TO ________________, 20__, IS ____%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AMOUNT OF THIS SECURITY.]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OPTIMIZERX CORPORATION, a Nevada corporation (herein referred to as the “Company,” which term includes any successor corporation under the Indenture referred to on the reverse hereof), for value received, hereby promises to pay to __________ or registered assigns the principal sum of</w:t>
      </w:r>
    </w:p>
    <w:p>
      <w:pPr>
        <w:spacing w:after="0"/>
        <w:rPr>
          <w:sz w:val="20"/>
          <w:szCs w:val="20"/>
          <w:color w:val="auto"/>
        </w:rPr>
      </w:pPr>
      <w:r>
        <w:rPr>
          <w:rFonts w:ascii="Arial" w:cs="Arial" w:eastAsia="Arial" w:hAnsi="Arial"/>
          <w:sz w:val="16"/>
          <w:szCs w:val="16"/>
          <w:color w:val="auto"/>
        </w:rPr>
        <w:t>__________ Dollars on __________ (the “Stated Maturity Date”) [or insert date fixed for earlier redemption (the “Redemption Date,” and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Stated Maturity Date with respect to principal repayable on such date, the “Maturity Date.”)]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Security is to bear interest prior to Maturity, insert — and to pay interest thereon from __________ or from the most recent Interest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Payment Date to which interest has been paid or duly provided for, semi-annually on __________ and __________ in each year (each, an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Date”), commencing __________, at the rate of ____% per annum, until the principal hereof is paid or duly provided for. The interest so payable,</w:t>
      </w:r>
    </w:p>
    <w:p>
      <w:pPr>
        <w:spacing w:after="0" w:line="32"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 or __________ (whether or not a Business Day), as the case may be, next preceding such Interest Payment Date [at the office or agency of the</w:t>
      </w:r>
    </w:p>
    <w:p>
      <w:pPr>
        <w:spacing w:after="0" w:line="3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Company maintained for such purpose; provided, however,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8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[If the Security is not to bear interest prior to Maturity, insert — The principal of this Security shall not bear interest except in the case of a default in payment of principal upon acceleration, upon redemption or at the [Stated] Maturity Date and in such case the overdue principal of this Security shall bear interest at the rate of ____% per annum (to the extent that the payment of such interest shall be legally enforceable), which shall accrue from the date</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of such default in payment to the date payment of such principal has been made or duly provided for. Interest on any overdue principal shall be payable on demand. Any such interest on any overdue principal that is not so paid on demand shall bear interest at the rate of ____% per annum (to the extent that the</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payment of such interest shall be legally enforceable), which shall accrue from the date of such demand for payment to the date payment of such interest has been made or duly provided for, and such interest shall also be payable on demand.]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right="80" w:firstLine="648"/>
        <w:spacing w:after="0" w:line="259" w:lineRule="auto"/>
        <w:rPr>
          <w:sz w:val="20"/>
          <w:szCs w:val="20"/>
          <w:color w:val="auto"/>
        </w:rPr>
      </w:pPr>
      <w:r>
        <w:rPr>
          <w:rFonts w:ascii="Arial" w:cs="Arial" w:eastAsia="Arial" w:hAnsi="Arial"/>
          <w:sz w:val="18"/>
          <w:szCs w:val="18"/>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__________, in such coin or currency of the United States of America as at the time of payment is legal tender for the payment of public and private debts.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__________, if no interest has been paid on this Security) to but excluding such Interest Payment Date or the [Stated] Maturity Date [or</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this Security is a Global Security, insert — All payments of principal, premium or Make-Whole Amount, if any, and interest in respect of this Security will be made by the Company in immediately available funds.]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 under its facsimile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[Reverse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 series under an Indenture, dated as of , 20___ (herein called the “Indenture”) between the Company and [</w:t>
      </w:r>
      <w:r>
        <w:rPr>
          <w:rFonts w:ascii="Arial" w:cs="Arial" w:eastAsia="Arial" w:hAnsi="Arial"/>
          <w:sz w:val="16"/>
          <w:szCs w:val="16"/>
          <w:u w:val="single" w:color="auto"/>
          <w:color w:val="auto"/>
        </w:rPr>
        <w:t>Name of Trustee</w:t>
      </w:r>
      <w:r>
        <w:rPr>
          <w:rFonts w:ascii="Arial" w:cs="Arial" w:eastAsia="Arial" w:hAnsi="Arial"/>
          <w:sz w:val="16"/>
          <w:szCs w:val="16"/>
          <w:color w:val="auto"/>
        </w:rPr>
        <w:t>],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[if applicable, insert — and the aggregate principal amount of the Securities to be issued under such series is limited to $_______ (except for Securities authenticated and delivered upon</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transfer of, or in exchange for, or in lieu of other Securities).] All terms used in this Security which are defined in the Indenture shall have the meanings assigned to them in the Indenture.</w:t>
      </w:r>
    </w:p>
    <w:p>
      <w:pPr>
        <w:spacing w:after="0" w:line="18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applicable, insert — The Securities may not be redeemed prior to the Stated Maturity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applicable, insert — The Securities are subject to redemption [ (l) (If applicable, insert — on __________ in any year commencing with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year __________ and ending with the year __________ through operation of the sinking fund for this series at a Redemption Price equal to 100%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and (2) ] [If applicable, insert — at any time [on or after__________], as a whole or in part, at the election of the Company, at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following Redemption Prices (expressed as percentages of the principal amount):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redeemed on or before __________, ____% and if redeemed during the 12-month period beginning __________ of the years indicated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Prices indicated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Redemption Price Year Redemption Price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and thereafter at a Redemption Price equal to ____% of the principal amount, together in the case of any such redemption [If applicable, insert — (whether</w:t>
      </w:r>
    </w:p>
    <w:p>
      <w:pPr>
        <w:spacing w:after="0" w:line="4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through operation of the sinking fund or otherwise)] with accrued interest to the Redemption Date; provided, however,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applicable, insert — The Securities are subject to redemption (1) on __________ in any year commencing with the year and ending with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____ through operation of the sinking fund for this series at the Redemption Prices for redemption through operation of the sinking fund (expressed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percentages of the principal amount) set forth in the table below, and (2) at any time [on or after__________], as a whole or in part, at the election of the</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Company, at the Redemption Prices for redemption otherwise than through operation of the sinking fund (expressed as percentages of the principal amount) set forth in the table below: If redeemed during the 12-month period beginning __________ of the years indicated,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tbl>
      <w:tblPr>
        <w:tblLayout w:type="fixed"/>
        <w:tblInd w:w="10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Redemption Price for</w:t>
            </w: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w w:val="98"/>
              </w:rPr>
              <w:t>Redemption Otherwise Than Redemption</w:t>
            </w:r>
          </w:p>
        </w:tc>
      </w:tr>
      <w:tr>
        <w:trPr>
          <w:trHeight w:val="216"/>
        </w:trPr>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w w:val="97"/>
              </w:rPr>
              <w:t>Redemption Through ______ Operation of</w:t>
            </w: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w w:val="98"/>
              </w:rPr>
              <w:t>Through ______ Operation of the Sinking</w:t>
            </w:r>
          </w:p>
        </w:tc>
      </w:tr>
      <w:tr>
        <w:trPr>
          <w:trHeight w:val="234"/>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8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the Sinking Fund</w:t>
            </w:r>
          </w:p>
        </w:tc>
        <w:tc>
          <w:tcPr>
            <w:tcW w:w="200" w:type="dxa"/>
            <w:vAlign w:val="bottom"/>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and thereafter at a Redemption Price equal to ____% of the principal amount, together in the case of any such redemption (whether through operation of the</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sinking fund or otherwise) with accrued interest to the Redemption Date; provided, however,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Notwithstanding the foregoing, the Company may not, prior to __________, redeem any Securities as contemplated by</w:t>
      </w:r>
    </w:p>
    <w:p>
      <w:pPr>
        <w:spacing w:after="0" w:line="46"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[Clause (2) of] the preceding paragraph as a part of, or in anticipation of, any refunding operation by the application, directly or indirectly, of moneys borrowed having an interest cost to the Company (calculated in accordance with generally accepted financial practice) of less than ____% per annum.]</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The sinking fund for the Securities provides for the redemption on __________ in each year, beginning with the year 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ending with the year ____, of [not less than] $________] [(“mandatory sinking fund”) and not more than $________] aggregate principal amount of</w:t>
      </w:r>
    </w:p>
    <w:p>
      <w:pPr>
        <w:spacing w:after="0" w:line="32"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the Securities. [The Securities acquired or redeemed by the Company otherwise than through [mandatory] sinking fund payments may be credited against subsequent [mandatory] sinking fund payments otherwise required to be made in the [describe order] order in which they become due.]]</w:t>
      </w:r>
    </w:p>
    <w:p>
      <w:pPr>
        <w:spacing w:after="0" w:line="16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applicable, insert conversion provisions set forth in any Board Resolution or indenture supplemental to the Indenture</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8" w:name="page119"/>
    <w:bookmarkEnd w:id="118"/>
    <w:p>
      <w:pPr>
        <w:ind w:right="40"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$_____ and any integral multiple thereof.</w:t>
      </w:r>
    </w:p>
    <w:p>
      <w:pPr>
        <w:spacing w:after="0" w:line="2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6"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B-1</w:t>
      </w:r>
    </w:p>
    <w:p>
      <w:pPr>
        <w:spacing w:after="0" w:line="225" w:lineRule="exact"/>
        <w:rPr>
          <w:sz w:val="20"/>
          <w:szCs w:val="20"/>
          <w:color w:val="auto"/>
        </w:rPr>
      </w:pPr>
    </w:p>
    <w:p>
      <w:pPr>
        <w:jc w:val="center"/>
        <w:ind w:left="340" w:right="2580"/>
        <w:spacing w:after="0" w:line="266" w:lineRule="auto"/>
        <w:rPr>
          <w:sz w:val="20"/>
          <w:szCs w:val="20"/>
          <w:color w:val="auto"/>
        </w:rPr>
      </w:pPr>
      <w:r>
        <w:rPr>
          <w:rFonts w:ascii="Arial" w:cs="Arial" w:eastAsia="Arial" w:hAnsi="Arial"/>
          <w:sz w:val="18"/>
          <w:szCs w:val="18"/>
          <w:b w:val="1"/>
          <w:bCs w:val="1"/>
          <w:color w:val="auto"/>
        </w:rPr>
        <w:t>FORM OF CERTIFICATE TO BE GIVEN BY PERSON ENTITLED TO RECEIVE BEARER SECURITY OR TO OBTAIN INTEREST PAYABLE PRIOR TO THE EXCHANGE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OptimizeRx Corporation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8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6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be dated no earlier than the 15th day prior to (i) the Exchange Date or (ii) the relevant Interest Payment Date occurring prior to the Exchange Date,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Making Certification]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22860</wp:posOffset>
            </wp:positionV>
            <wp:extent cx="24942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GIVEN BY EUROCLEAR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CLEARSTREAM S.A. IN CONNECTION WITH THE EXCHANGE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PORTION OF A TEMPORARY GLOBAL SECURITY OR TO OBTAIN INTEREST PAYABLE PRIOR TO THE EXCHANGE DATE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OptimizeRx Corporation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be dated no earlier than the Exchange Date or the relevant Interest Payment Date occurring prior to the Exchange Date, as applicable]</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[Morgan Guaranty Trust Company of New York, Brussels Office, as Operator of the Euroclear System Clearstream Banking Luxembourg]</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TRUSTEE]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as of __________, 20___</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1268730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8740" w:type="dxa"/>
            <w:vAlign w:val="bottom"/>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53"/>
        </w:trPr>
        <w:tc>
          <w:tcPr>
            <w:tcW w:w="17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243"/>
        </w:trPr>
        <w:tc>
          <w:tcPr>
            <w:tcW w:w="1720" w:type="dxa"/>
            <w:vAlign w:val="bottom"/>
          </w:tcPr>
          <w:p>
            <w:pPr>
              <w:spacing w:after="0"/>
              <w:rPr>
                <w:sz w:val="21"/>
                <w:szCs w:val="21"/>
                <w:color w:val="auto"/>
              </w:rPr>
            </w:pPr>
          </w:p>
        </w:tc>
        <w:tc>
          <w:tcPr>
            <w:tcW w:w="87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101</w:t>
            </w:r>
          </w:p>
        </w:tc>
        <w:tc>
          <w:tcPr>
            <w:tcW w:w="874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102</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Compliance Certificates and Opinions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103</w:t>
            </w:r>
          </w:p>
        </w:tc>
        <w:tc>
          <w:tcPr>
            <w:tcW w:w="8740" w:type="dxa"/>
            <w:vAlign w:val="bottom"/>
          </w:tcPr>
          <w:p>
            <w:pPr>
              <w:ind w:left="320"/>
              <w:spacing w:after="0"/>
              <w:rPr>
                <w:sz w:val="20"/>
                <w:szCs w:val="20"/>
                <w:color w:val="auto"/>
              </w:rPr>
            </w:pPr>
            <w:r>
              <w:rPr>
                <w:rFonts w:ascii="Arial" w:cs="Arial" w:eastAsia="Arial" w:hAnsi="Arial"/>
                <w:sz w:val="18"/>
                <w:szCs w:val="18"/>
                <w:color w:val="auto"/>
              </w:rPr>
              <w:t>Form of Documents Delivered to Trustee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104</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Acts of Holders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105</w:t>
            </w:r>
          </w:p>
        </w:tc>
        <w:tc>
          <w:tcPr>
            <w:tcW w:w="8740" w:type="dxa"/>
            <w:vAlign w:val="bottom"/>
          </w:tcPr>
          <w:p>
            <w:pPr>
              <w:ind w:left="320"/>
              <w:spacing w:after="0"/>
              <w:rPr>
                <w:sz w:val="20"/>
                <w:szCs w:val="20"/>
                <w:color w:val="auto"/>
              </w:rPr>
            </w:pPr>
            <w:r>
              <w:rPr>
                <w:rFonts w:ascii="Arial" w:cs="Arial" w:eastAsia="Arial" w:hAnsi="Arial"/>
                <w:sz w:val="18"/>
                <w:szCs w:val="18"/>
                <w:color w:val="auto"/>
              </w:rPr>
              <w:t>Notices, etc., to Trustee and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106</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 to Holders; Waiver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107</w:t>
            </w:r>
          </w:p>
        </w:tc>
        <w:tc>
          <w:tcPr>
            <w:tcW w:w="8740" w:type="dxa"/>
            <w:vAlign w:val="bottom"/>
          </w:tcPr>
          <w:p>
            <w:pPr>
              <w:ind w:left="320"/>
              <w:spacing w:after="0"/>
              <w:rPr>
                <w:sz w:val="20"/>
                <w:szCs w:val="20"/>
                <w:color w:val="auto"/>
              </w:rPr>
            </w:pPr>
            <w:r>
              <w:rPr>
                <w:rFonts w:ascii="Arial" w:cs="Arial" w:eastAsia="Arial" w:hAnsi="Arial"/>
                <w:sz w:val="18"/>
                <w:szCs w:val="18"/>
                <w:color w:val="auto"/>
              </w:rPr>
              <w:t>Counterparts; Effect of Headings and Table of Contents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108</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Successors and Assigns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109</w:t>
            </w:r>
          </w:p>
        </w:tc>
        <w:tc>
          <w:tcPr>
            <w:tcW w:w="8740" w:type="dxa"/>
            <w:vAlign w:val="bottom"/>
          </w:tcPr>
          <w:p>
            <w:pPr>
              <w:ind w:left="320"/>
              <w:spacing w:after="0"/>
              <w:rPr>
                <w:sz w:val="20"/>
                <w:szCs w:val="20"/>
                <w:color w:val="auto"/>
              </w:rPr>
            </w:pPr>
            <w:r>
              <w:rPr>
                <w:rFonts w:ascii="Arial" w:cs="Arial" w:eastAsia="Arial" w:hAnsi="Arial"/>
                <w:sz w:val="18"/>
                <w:szCs w:val="18"/>
                <w:color w:val="auto"/>
              </w:rPr>
              <w:t>Severability Clause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Benefits of Indenture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111</w:t>
            </w:r>
          </w:p>
        </w:tc>
        <w:tc>
          <w:tcPr>
            <w:tcW w:w="874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112</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Legal Holidays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113</w:t>
            </w:r>
          </w:p>
        </w:tc>
        <w:tc>
          <w:tcPr>
            <w:tcW w:w="8740" w:type="dxa"/>
            <w:vAlign w:val="bottom"/>
          </w:tcPr>
          <w:p>
            <w:pPr>
              <w:ind w:left="320"/>
              <w:spacing w:after="0"/>
              <w:rPr>
                <w:sz w:val="20"/>
                <w:szCs w:val="20"/>
                <w:color w:val="auto"/>
              </w:rPr>
            </w:pPr>
            <w:r>
              <w:rPr>
                <w:rFonts w:ascii="Arial" w:cs="Arial" w:eastAsia="Arial" w:hAnsi="Arial"/>
                <w:sz w:val="18"/>
                <w:szCs w:val="18"/>
                <w:color w:val="auto"/>
              </w:rPr>
              <w:t>Limited Liability; Immunity of Stockholders, Directors, Officers and Agents of the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114</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Conflict with Trust Indenture Act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2 SECURITIES FORMS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201</w:t>
            </w:r>
          </w:p>
        </w:tc>
        <w:tc>
          <w:tcPr>
            <w:tcW w:w="8740" w:type="dxa"/>
            <w:vAlign w:val="bottom"/>
          </w:tcPr>
          <w:p>
            <w:pPr>
              <w:ind w:left="320"/>
              <w:spacing w:after="0"/>
              <w:rPr>
                <w:sz w:val="20"/>
                <w:szCs w:val="20"/>
                <w:color w:val="auto"/>
              </w:rPr>
            </w:pPr>
            <w:r>
              <w:rPr>
                <w:rFonts w:ascii="Arial" w:cs="Arial" w:eastAsia="Arial" w:hAnsi="Arial"/>
                <w:sz w:val="18"/>
                <w:szCs w:val="18"/>
                <w:color w:val="auto"/>
              </w:rPr>
              <w:t>Forms of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202</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Trustee’s Certificate of Authentication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203</w:t>
            </w:r>
          </w:p>
        </w:tc>
        <w:tc>
          <w:tcPr>
            <w:tcW w:w="8740" w:type="dxa"/>
            <w:vAlign w:val="bottom"/>
          </w:tcPr>
          <w:p>
            <w:pPr>
              <w:ind w:left="320"/>
              <w:spacing w:after="0"/>
              <w:rPr>
                <w:sz w:val="20"/>
                <w:szCs w:val="20"/>
                <w:color w:val="auto"/>
              </w:rPr>
            </w:pPr>
            <w:r>
              <w:rPr>
                <w:rFonts w:ascii="Arial" w:cs="Arial" w:eastAsia="Arial" w:hAnsi="Arial"/>
                <w:sz w:val="18"/>
                <w:szCs w:val="18"/>
                <w:color w:val="auto"/>
              </w:rPr>
              <w:t>Securities Issuable in Global Form</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3 THE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Amount Unlimited; Issuable in Series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302</w:t>
            </w:r>
          </w:p>
        </w:tc>
        <w:tc>
          <w:tcPr>
            <w:tcW w:w="8740" w:type="dxa"/>
            <w:vAlign w:val="bottom"/>
          </w:tcPr>
          <w:p>
            <w:pPr>
              <w:ind w:left="320"/>
              <w:spacing w:after="0"/>
              <w:rPr>
                <w:sz w:val="20"/>
                <w:szCs w:val="20"/>
                <w:color w:val="auto"/>
              </w:rPr>
            </w:pPr>
            <w:r>
              <w:rPr>
                <w:rFonts w:ascii="Arial" w:cs="Arial" w:eastAsia="Arial" w:hAnsi="Arial"/>
                <w:sz w:val="18"/>
                <w:szCs w:val="18"/>
                <w:color w:val="auto"/>
              </w:rPr>
              <w:t>Denominations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Execution, Authentication, Delivery and Dating</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304</w:t>
            </w:r>
          </w:p>
        </w:tc>
        <w:tc>
          <w:tcPr>
            <w:tcW w:w="8740" w:type="dxa"/>
            <w:vAlign w:val="bottom"/>
          </w:tcPr>
          <w:p>
            <w:pPr>
              <w:ind w:left="320"/>
              <w:spacing w:after="0"/>
              <w:rPr>
                <w:sz w:val="20"/>
                <w:szCs w:val="20"/>
                <w:color w:val="auto"/>
              </w:rPr>
            </w:pPr>
            <w:r>
              <w:rPr>
                <w:rFonts w:ascii="Arial" w:cs="Arial" w:eastAsia="Arial" w:hAnsi="Arial"/>
                <w:sz w:val="18"/>
                <w:szCs w:val="18"/>
                <w:color w:val="auto"/>
              </w:rPr>
              <w:t>Temporary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305</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Registration, Registration of Transfer, Conversion and Exchange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306</w:t>
            </w:r>
          </w:p>
        </w:tc>
        <w:tc>
          <w:tcPr>
            <w:tcW w:w="8740" w:type="dxa"/>
            <w:vAlign w:val="bottom"/>
          </w:tcPr>
          <w:p>
            <w:pPr>
              <w:ind w:left="320"/>
              <w:spacing w:after="0"/>
              <w:rPr>
                <w:sz w:val="20"/>
                <w:szCs w:val="20"/>
                <w:color w:val="auto"/>
              </w:rPr>
            </w:pPr>
            <w:r>
              <w:rPr>
                <w:rFonts w:ascii="Arial" w:cs="Arial" w:eastAsia="Arial" w:hAnsi="Arial"/>
                <w:sz w:val="18"/>
                <w:szCs w:val="18"/>
                <w:color w:val="auto"/>
              </w:rPr>
              <w:t>Mutilated, Destroyed, Lost and Stolen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307</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Interest; Interest Rights Preserved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308</w:t>
            </w:r>
          </w:p>
        </w:tc>
        <w:tc>
          <w:tcPr>
            <w:tcW w:w="8740" w:type="dxa"/>
            <w:vAlign w:val="bottom"/>
          </w:tcPr>
          <w:p>
            <w:pPr>
              <w:ind w:left="320"/>
              <w:spacing w:after="0"/>
              <w:rPr>
                <w:sz w:val="20"/>
                <w:szCs w:val="20"/>
                <w:color w:val="auto"/>
              </w:rPr>
            </w:pPr>
            <w:r>
              <w:rPr>
                <w:rFonts w:ascii="Arial" w:cs="Arial" w:eastAsia="Arial" w:hAnsi="Arial"/>
                <w:sz w:val="18"/>
                <w:szCs w:val="18"/>
                <w:color w:val="auto"/>
              </w:rPr>
              <w:t>Persons Deemed Owners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309</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Cancellation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310</w:t>
            </w:r>
          </w:p>
        </w:tc>
        <w:tc>
          <w:tcPr>
            <w:tcW w:w="8740" w:type="dxa"/>
            <w:vAlign w:val="bottom"/>
          </w:tcPr>
          <w:p>
            <w:pPr>
              <w:ind w:left="320"/>
              <w:spacing w:after="0"/>
              <w:rPr>
                <w:sz w:val="20"/>
                <w:szCs w:val="20"/>
                <w:color w:val="auto"/>
              </w:rPr>
            </w:pPr>
            <w:r>
              <w:rPr>
                <w:rFonts w:ascii="Arial" w:cs="Arial" w:eastAsia="Arial" w:hAnsi="Arial"/>
                <w:sz w:val="18"/>
                <w:szCs w:val="18"/>
                <w:color w:val="auto"/>
              </w:rPr>
              <w:t>Computation of Interest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311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CUSIP Numbers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43"/>
        </w:trPr>
        <w:tc>
          <w:tcPr>
            <w:tcW w:w="194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4 SATISFACTION AND DISCHARGE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401</w:t>
            </w:r>
          </w:p>
        </w:tc>
        <w:tc>
          <w:tcPr>
            <w:tcW w:w="852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402</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Application of Trust Funds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94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ARTICLE 5 REMEDIES</w:t>
            </w:r>
          </w:p>
        </w:tc>
        <w:tc>
          <w:tcPr>
            <w:tcW w:w="85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501</w:t>
            </w:r>
          </w:p>
        </w:tc>
        <w:tc>
          <w:tcPr>
            <w:tcW w:w="852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502</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Acceleration of Maturity; Rescission and Annulment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503</w:t>
            </w:r>
          </w:p>
        </w:tc>
        <w:tc>
          <w:tcPr>
            <w:tcW w:w="8520" w:type="dxa"/>
            <w:vAlign w:val="bottom"/>
          </w:tcPr>
          <w:p>
            <w:pPr>
              <w:ind w:left="100"/>
              <w:spacing w:after="0"/>
              <w:rPr>
                <w:sz w:val="20"/>
                <w:szCs w:val="20"/>
                <w:color w:val="auto"/>
              </w:rPr>
            </w:pPr>
            <w:r>
              <w:rPr>
                <w:rFonts w:ascii="Arial" w:cs="Arial" w:eastAsia="Arial" w:hAnsi="Arial"/>
                <w:sz w:val="18"/>
                <w:szCs w:val="18"/>
                <w:color w:val="auto"/>
              </w:rPr>
              <w:t>Collection of Indebtedness and Suits for Enforcement by Trustee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504</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Trustee May File Proofs of Claim</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505</w:t>
            </w:r>
          </w:p>
        </w:tc>
        <w:tc>
          <w:tcPr>
            <w:tcW w:w="8520" w:type="dxa"/>
            <w:vAlign w:val="bottom"/>
          </w:tcPr>
          <w:p>
            <w:pPr>
              <w:ind w:left="10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506</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Application of Money Collected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507</w:t>
            </w:r>
          </w:p>
        </w:tc>
        <w:tc>
          <w:tcPr>
            <w:tcW w:w="8520" w:type="dxa"/>
            <w:vAlign w:val="bottom"/>
          </w:tcPr>
          <w:p>
            <w:pPr>
              <w:ind w:left="100"/>
              <w:spacing w:after="0"/>
              <w:rPr>
                <w:sz w:val="20"/>
                <w:szCs w:val="20"/>
                <w:color w:val="auto"/>
              </w:rPr>
            </w:pPr>
            <w:r>
              <w:rPr>
                <w:rFonts w:ascii="Arial" w:cs="Arial" w:eastAsia="Arial" w:hAnsi="Arial"/>
                <w:sz w:val="18"/>
                <w:szCs w:val="18"/>
                <w:color w:val="auto"/>
              </w:rPr>
              <w:t>Limitation on Suits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508</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Unconditional Right of Holders to Receive Principal, Premium or Make-Whole Amount, if any, and Interest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509</w:t>
            </w:r>
          </w:p>
        </w:tc>
        <w:tc>
          <w:tcPr>
            <w:tcW w:w="8520" w:type="dxa"/>
            <w:vAlign w:val="bottom"/>
          </w:tcPr>
          <w:p>
            <w:pPr>
              <w:ind w:left="100"/>
              <w:spacing w:after="0"/>
              <w:rPr>
                <w:sz w:val="20"/>
                <w:szCs w:val="20"/>
                <w:color w:val="auto"/>
              </w:rPr>
            </w:pPr>
            <w:r>
              <w:rPr>
                <w:rFonts w:ascii="Arial" w:cs="Arial" w:eastAsia="Arial" w:hAnsi="Arial"/>
                <w:sz w:val="18"/>
                <w:szCs w:val="18"/>
                <w:color w:val="auto"/>
              </w:rPr>
              <w:t>Restoration of Rights and Remedies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510</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Rights and Remedies Cumulative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511</w:t>
            </w:r>
          </w:p>
        </w:tc>
        <w:tc>
          <w:tcPr>
            <w:tcW w:w="8520" w:type="dxa"/>
            <w:vAlign w:val="bottom"/>
          </w:tcPr>
          <w:p>
            <w:pPr>
              <w:ind w:left="100"/>
              <w:spacing w:after="0"/>
              <w:rPr>
                <w:sz w:val="20"/>
                <w:szCs w:val="20"/>
                <w:color w:val="auto"/>
              </w:rPr>
            </w:pPr>
            <w:r>
              <w:rPr>
                <w:rFonts w:ascii="Arial" w:cs="Arial" w:eastAsia="Arial" w:hAnsi="Arial"/>
                <w:sz w:val="18"/>
                <w:szCs w:val="18"/>
                <w:color w:val="auto"/>
              </w:rPr>
              <w:t>Delay or Omission Not Waiver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512</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 by Holders of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513</w:t>
            </w:r>
          </w:p>
        </w:tc>
        <w:tc>
          <w:tcPr>
            <w:tcW w:w="852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514</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Waiver of Usury, Stay or Extension Laws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515</w:t>
            </w:r>
          </w:p>
        </w:tc>
        <w:tc>
          <w:tcPr>
            <w:tcW w:w="8520" w:type="dxa"/>
            <w:vAlign w:val="bottom"/>
          </w:tcPr>
          <w:p>
            <w:pPr>
              <w:ind w:left="100"/>
              <w:spacing w:after="0"/>
              <w:rPr>
                <w:sz w:val="20"/>
                <w:szCs w:val="20"/>
                <w:color w:val="auto"/>
              </w:rPr>
            </w:pPr>
            <w:r>
              <w:rPr>
                <w:rFonts w:ascii="Arial" w:cs="Arial" w:eastAsia="Arial" w:hAnsi="Arial"/>
                <w:sz w:val="18"/>
                <w:szCs w:val="18"/>
                <w:color w:val="auto"/>
              </w:rPr>
              <w:t>Undertaking for Costs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6 THE TRUSTEE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601</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Notice of Defaults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602</w:t>
            </w:r>
          </w:p>
        </w:tc>
        <w:tc>
          <w:tcPr>
            <w:tcW w:w="8520" w:type="dxa"/>
            <w:vAlign w:val="bottom"/>
          </w:tcPr>
          <w:p>
            <w:pPr>
              <w:ind w:left="100"/>
              <w:spacing w:after="0"/>
              <w:rPr>
                <w:sz w:val="20"/>
                <w:szCs w:val="20"/>
                <w:color w:val="auto"/>
              </w:rPr>
            </w:pPr>
            <w:r>
              <w:rPr>
                <w:rFonts w:ascii="Arial" w:cs="Arial" w:eastAsia="Arial" w:hAnsi="Arial"/>
                <w:sz w:val="18"/>
                <w:szCs w:val="18"/>
                <w:color w:val="auto"/>
              </w:rPr>
              <w:t>Certain Rights of Trustee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603</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 Responsible for Recitals or Issuance of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604</w:t>
            </w:r>
          </w:p>
        </w:tc>
        <w:tc>
          <w:tcPr>
            <w:tcW w:w="8520" w:type="dxa"/>
            <w:vAlign w:val="bottom"/>
          </w:tcPr>
          <w:p>
            <w:pPr>
              <w:ind w:left="100"/>
              <w:spacing w:after="0"/>
              <w:rPr>
                <w:sz w:val="20"/>
                <w:szCs w:val="20"/>
                <w:color w:val="auto"/>
              </w:rPr>
            </w:pPr>
            <w:r>
              <w:rPr>
                <w:rFonts w:ascii="Arial" w:cs="Arial" w:eastAsia="Arial" w:hAnsi="Arial"/>
                <w:sz w:val="18"/>
                <w:szCs w:val="18"/>
                <w:color w:val="auto"/>
              </w:rPr>
              <w:t>May Hold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605</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Money Held in Trust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606</w:t>
            </w:r>
          </w:p>
        </w:tc>
        <w:tc>
          <w:tcPr>
            <w:tcW w:w="8520" w:type="dxa"/>
            <w:vAlign w:val="bottom"/>
          </w:tcPr>
          <w:p>
            <w:pPr>
              <w:ind w:left="100"/>
              <w:spacing w:after="0"/>
              <w:rPr>
                <w:sz w:val="20"/>
                <w:szCs w:val="20"/>
                <w:color w:val="auto"/>
              </w:rPr>
            </w:pPr>
            <w:r>
              <w:rPr>
                <w:rFonts w:ascii="Arial" w:cs="Arial" w:eastAsia="Arial" w:hAnsi="Arial"/>
                <w:sz w:val="18"/>
                <w:szCs w:val="18"/>
                <w:color w:val="auto"/>
              </w:rPr>
              <w:t>Compensation and Reimbursement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607</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Trustee Required; Eligibility; Conflicting Interests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608</w:t>
            </w:r>
          </w:p>
        </w:tc>
        <w:tc>
          <w:tcPr>
            <w:tcW w:w="8520" w:type="dxa"/>
            <w:vAlign w:val="bottom"/>
          </w:tcPr>
          <w:p>
            <w:pPr>
              <w:ind w:left="100"/>
              <w:spacing w:after="0"/>
              <w:rPr>
                <w:sz w:val="20"/>
                <w:szCs w:val="20"/>
                <w:color w:val="auto"/>
              </w:rPr>
            </w:pPr>
            <w:r>
              <w:rPr>
                <w:rFonts w:ascii="Arial" w:cs="Arial" w:eastAsia="Arial" w:hAnsi="Arial"/>
                <w:sz w:val="18"/>
                <w:szCs w:val="18"/>
                <w:color w:val="auto"/>
              </w:rPr>
              <w:t>Resignation and Removal; Appointment of Successor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609</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Acceptance of Appointment by Successor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SECTION 610</w:t>
            </w:r>
          </w:p>
        </w:tc>
        <w:tc>
          <w:tcPr>
            <w:tcW w:w="8520" w:type="dxa"/>
            <w:vAlign w:val="bottom"/>
          </w:tcPr>
          <w:p>
            <w:pPr>
              <w:ind w:left="100"/>
              <w:spacing w:after="0"/>
              <w:rPr>
                <w:sz w:val="20"/>
                <w:szCs w:val="20"/>
                <w:color w:val="auto"/>
              </w:rPr>
            </w:pPr>
            <w:r>
              <w:rPr>
                <w:rFonts w:ascii="Arial" w:cs="Arial" w:eastAsia="Arial" w:hAnsi="Arial"/>
                <w:sz w:val="18"/>
                <w:szCs w:val="18"/>
                <w:color w:val="auto"/>
              </w:rPr>
              <w:t>Merger, Conversion, Consolidation or Succession to Business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611</w:t>
            </w:r>
          </w:p>
        </w:tc>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Appointment of Authenticating Agent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43"/>
        </w:trPr>
        <w:tc>
          <w:tcPr>
            <w:tcW w:w="1760" w:type="dxa"/>
            <w:vAlign w:val="bottom"/>
          </w:tcPr>
          <w:p>
            <w:pPr>
              <w:spacing w:after="0"/>
              <w:rPr>
                <w:sz w:val="21"/>
                <w:szCs w:val="21"/>
                <w:color w:val="auto"/>
              </w:rPr>
            </w:pPr>
          </w:p>
        </w:tc>
        <w:tc>
          <w:tcPr>
            <w:tcW w:w="87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612</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Certain Duties and Responsibilities of the Trustee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7 HOLDERS’ LISTS AND REPORTS BY TRUSTEE AND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701</w:t>
            </w:r>
          </w:p>
        </w:tc>
        <w:tc>
          <w:tcPr>
            <w:tcW w:w="8700" w:type="dxa"/>
            <w:vAlign w:val="bottom"/>
          </w:tcPr>
          <w:p>
            <w:pPr>
              <w:ind w:left="280"/>
              <w:spacing w:after="0"/>
              <w:rPr>
                <w:sz w:val="20"/>
                <w:szCs w:val="20"/>
                <w:color w:val="auto"/>
              </w:rPr>
            </w:pPr>
            <w:r>
              <w:rPr>
                <w:rFonts w:ascii="Arial" w:cs="Arial" w:eastAsia="Arial" w:hAnsi="Arial"/>
                <w:sz w:val="18"/>
                <w:szCs w:val="18"/>
                <w:color w:val="auto"/>
              </w:rPr>
              <w:t>Disclosure of Names and Addresses of Holders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702</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Reports by Trustee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703</w:t>
            </w:r>
          </w:p>
        </w:tc>
        <w:tc>
          <w:tcPr>
            <w:tcW w:w="8700" w:type="dxa"/>
            <w:vAlign w:val="bottom"/>
          </w:tcPr>
          <w:p>
            <w:pPr>
              <w:ind w:left="280"/>
              <w:spacing w:after="0"/>
              <w:rPr>
                <w:sz w:val="20"/>
                <w:szCs w:val="20"/>
                <w:color w:val="auto"/>
              </w:rPr>
            </w:pPr>
            <w:r>
              <w:rPr>
                <w:rFonts w:ascii="Arial" w:cs="Arial" w:eastAsia="Arial" w:hAnsi="Arial"/>
                <w:sz w:val="18"/>
                <w:szCs w:val="18"/>
                <w:color w:val="auto"/>
              </w:rPr>
              <w:t>Reports by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704</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 to Furnish Trustee Names and Addresses of Holders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8 CONSOLIDATION, MERGER, SALE, LEASE OR CONVEYANCE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02"/>
        </w:trPr>
        <w:tc>
          <w:tcPr>
            <w:tcW w:w="1760" w:type="dxa"/>
            <w:vAlign w:val="bottom"/>
          </w:tcPr>
          <w:p>
            <w:pPr>
              <w:ind w:left="340"/>
              <w:spacing w:after="0" w:line="201" w:lineRule="exact"/>
              <w:rPr>
                <w:sz w:val="20"/>
                <w:szCs w:val="20"/>
                <w:color w:val="auto"/>
              </w:rPr>
            </w:pPr>
            <w:r>
              <w:rPr>
                <w:rFonts w:ascii="Arial" w:cs="Arial" w:eastAsia="Arial" w:hAnsi="Arial"/>
                <w:sz w:val="18"/>
                <w:szCs w:val="18"/>
                <w:color w:val="auto"/>
              </w:rPr>
              <w:t>SECTION 801</w:t>
            </w:r>
          </w:p>
        </w:tc>
        <w:tc>
          <w:tcPr>
            <w:tcW w:w="8700" w:type="dxa"/>
            <w:vAlign w:val="bottom"/>
          </w:tcPr>
          <w:p>
            <w:pPr>
              <w:ind w:left="280"/>
              <w:spacing w:after="0" w:line="201" w:lineRule="exact"/>
              <w:rPr>
                <w:sz w:val="20"/>
                <w:szCs w:val="20"/>
                <w:color w:val="auto"/>
              </w:rPr>
            </w:pPr>
            <w:r>
              <w:rPr>
                <w:rFonts w:ascii="Arial" w:cs="Arial" w:eastAsia="Arial" w:hAnsi="Arial"/>
                <w:sz w:val="18"/>
                <w:szCs w:val="18"/>
                <w:color w:val="auto"/>
                <w:w w:val="97"/>
              </w:rPr>
              <w:t>Consolidations and Mergers of Company and Sales, Leases and Conveyances Permitted Subject to Certain</w:t>
            </w:r>
          </w:p>
        </w:tc>
        <w:tc>
          <w:tcPr>
            <w:tcW w:w="780" w:type="dxa"/>
            <w:vAlign w:val="bottom"/>
          </w:tcPr>
          <w:p>
            <w:pPr>
              <w:spacing w:after="0"/>
              <w:rPr>
                <w:sz w:val="17"/>
                <w:szCs w:val="17"/>
                <w:color w:val="auto"/>
              </w:rPr>
            </w:pPr>
          </w:p>
        </w:tc>
      </w:tr>
      <w:tr>
        <w:trPr>
          <w:trHeight w:val="230"/>
        </w:trPr>
        <w:tc>
          <w:tcPr>
            <w:tcW w:w="1760" w:type="dxa"/>
            <w:vAlign w:val="bottom"/>
          </w:tcPr>
          <w:p>
            <w:pPr>
              <w:spacing w:after="0"/>
              <w:rPr>
                <w:sz w:val="20"/>
                <w:szCs w:val="20"/>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Conditions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802</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Rights and Duties of Successor Corporation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803</w:t>
            </w:r>
          </w:p>
        </w:tc>
        <w:tc>
          <w:tcPr>
            <w:tcW w:w="8700" w:type="dxa"/>
            <w:vAlign w:val="bottom"/>
          </w:tcPr>
          <w:p>
            <w:pPr>
              <w:ind w:left="280"/>
              <w:spacing w:after="0"/>
              <w:rPr>
                <w:sz w:val="20"/>
                <w:szCs w:val="20"/>
                <w:color w:val="auto"/>
              </w:rPr>
            </w:pPr>
            <w:r>
              <w:rPr>
                <w:rFonts w:ascii="Arial" w:cs="Arial" w:eastAsia="Arial" w:hAnsi="Arial"/>
                <w:sz w:val="18"/>
                <w:szCs w:val="18"/>
                <w:color w:val="auto"/>
              </w:rPr>
              <w:t>Officers’ Certificate and Opinion of Counsel</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901</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Supplemental Indentures Without Consent of Holders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902</w:t>
            </w:r>
          </w:p>
        </w:tc>
        <w:tc>
          <w:tcPr>
            <w:tcW w:w="8700" w:type="dxa"/>
            <w:vAlign w:val="bottom"/>
          </w:tcPr>
          <w:p>
            <w:pPr>
              <w:ind w:left="280"/>
              <w:spacing w:after="0"/>
              <w:rPr>
                <w:sz w:val="20"/>
                <w:szCs w:val="20"/>
                <w:color w:val="auto"/>
              </w:rPr>
            </w:pPr>
            <w:r>
              <w:rPr>
                <w:rFonts w:ascii="Arial" w:cs="Arial" w:eastAsia="Arial" w:hAnsi="Arial"/>
                <w:sz w:val="18"/>
                <w:szCs w:val="18"/>
                <w:color w:val="auto"/>
              </w:rPr>
              <w:t>Supplemental Indentures with Consent of Holders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903</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Execution of Supplemental Indentures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904</w:t>
            </w:r>
          </w:p>
        </w:tc>
        <w:tc>
          <w:tcPr>
            <w:tcW w:w="8700" w:type="dxa"/>
            <w:vAlign w:val="bottom"/>
          </w:tcPr>
          <w:p>
            <w:pPr>
              <w:ind w:left="280"/>
              <w:spacing w:after="0"/>
              <w:rPr>
                <w:sz w:val="20"/>
                <w:szCs w:val="20"/>
                <w:color w:val="auto"/>
              </w:rPr>
            </w:pPr>
            <w:r>
              <w:rPr>
                <w:rFonts w:ascii="Arial" w:cs="Arial" w:eastAsia="Arial" w:hAnsi="Arial"/>
                <w:sz w:val="18"/>
                <w:szCs w:val="18"/>
                <w:color w:val="auto"/>
              </w:rPr>
              <w:t>Effect of Supplemental Indentures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905</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Conformity with Trust Indenture Act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906</w:t>
            </w:r>
          </w:p>
        </w:tc>
        <w:tc>
          <w:tcPr>
            <w:tcW w:w="8700" w:type="dxa"/>
            <w:vAlign w:val="bottom"/>
          </w:tcPr>
          <w:p>
            <w:pPr>
              <w:ind w:left="280"/>
              <w:spacing w:after="0"/>
              <w:rPr>
                <w:sz w:val="20"/>
                <w:szCs w:val="20"/>
                <w:color w:val="auto"/>
              </w:rPr>
            </w:pPr>
            <w:r>
              <w:rPr>
                <w:rFonts w:ascii="Arial" w:cs="Arial" w:eastAsia="Arial" w:hAnsi="Arial"/>
                <w:sz w:val="18"/>
                <w:szCs w:val="18"/>
                <w:color w:val="auto"/>
              </w:rPr>
              <w:t>Reference in Securities to Supplemental Indentures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10 COVENANTS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1001</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of Principal, Premium or Make-Whole Amount, if any; and Interest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1002</w:t>
            </w:r>
          </w:p>
        </w:tc>
        <w:tc>
          <w:tcPr>
            <w:tcW w:w="870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1003</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Money for Securities Payments to Be Held in Trust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1004</w:t>
            </w:r>
          </w:p>
        </w:tc>
        <w:tc>
          <w:tcPr>
            <w:tcW w:w="8700" w:type="dxa"/>
            <w:vAlign w:val="bottom"/>
          </w:tcPr>
          <w:p>
            <w:pPr>
              <w:ind w:left="280"/>
              <w:spacing w:after="0"/>
              <w:rPr>
                <w:sz w:val="20"/>
                <w:szCs w:val="20"/>
                <w:color w:val="auto"/>
              </w:rPr>
            </w:pPr>
            <w:r>
              <w:rPr>
                <w:rFonts w:ascii="Arial" w:cs="Arial" w:eastAsia="Arial" w:hAnsi="Arial"/>
                <w:sz w:val="18"/>
                <w:szCs w:val="18"/>
                <w:color w:val="auto"/>
              </w:rPr>
              <w:t>Existence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1005</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Maintenance of Properties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1006</w:t>
            </w:r>
          </w:p>
        </w:tc>
        <w:tc>
          <w:tcPr>
            <w:tcW w:w="870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1007</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of Taxes and Other Claims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1008</w:t>
            </w:r>
          </w:p>
        </w:tc>
        <w:tc>
          <w:tcPr>
            <w:tcW w:w="8700" w:type="dxa"/>
            <w:vAlign w:val="bottom"/>
          </w:tcPr>
          <w:p>
            <w:pPr>
              <w:ind w:left="280"/>
              <w:spacing w:after="0"/>
              <w:rPr>
                <w:sz w:val="20"/>
                <w:szCs w:val="20"/>
                <w:color w:val="auto"/>
              </w:rPr>
            </w:pPr>
            <w:r>
              <w:rPr>
                <w:rFonts w:ascii="Arial" w:cs="Arial" w:eastAsia="Arial" w:hAnsi="Arial"/>
                <w:sz w:val="18"/>
                <w:szCs w:val="18"/>
                <w:color w:val="auto"/>
              </w:rPr>
              <w:t>Statement as to Compliance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1009</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Waiver of Certain Covenants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11 REDEMPTION OF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1101</w:t>
            </w:r>
          </w:p>
        </w:tc>
        <w:tc>
          <w:tcPr>
            <w:tcW w:w="870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1102</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Election to Redeem; Notice to Trustee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1103</w:t>
            </w:r>
          </w:p>
        </w:tc>
        <w:tc>
          <w:tcPr>
            <w:tcW w:w="8700" w:type="dxa"/>
            <w:vAlign w:val="bottom"/>
          </w:tcPr>
          <w:p>
            <w:pPr>
              <w:ind w:left="280"/>
              <w:spacing w:after="0"/>
              <w:rPr>
                <w:sz w:val="20"/>
                <w:szCs w:val="20"/>
                <w:color w:val="auto"/>
              </w:rPr>
            </w:pPr>
            <w:r>
              <w:rPr>
                <w:rFonts w:ascii="Arial" w:cs="Arial" w:eastAsia="Arial" w:hAnsi="Arial"/>
                <w:sz w:val="18"/>
                <w:szCs w:val="18"/>
                <w:color w:val="auto"/>
              </w:rPr>
              <w:t>Selection by Trustee of Securities to Be Redeemed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56</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43"/>
        </w:trPr>
        <w:tc>
          <w:tcPr>
            <w:tcW w:w="1760" w:type="dxa"/>
            <w:vAlign w:val="bottom"/>
          </w:tcPr>
          <w:p>
            <w:pPr>
              <w:spacing w:after="0"/>
              <w:rPr>
                <w:sz w:val="21"/>
                <w:szCs w:val="21"/>
                <w:color w:val="auto"/>
              </w:rPr>
            </w:pPr>
          </w:p>
        </w:tc>
        <w:tc>
          <w:tcPr>
            <w:tcW w:w="87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1104</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 of Redemption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1105</w:t>
            </w:r>
          </w:p>
        </w:tc>
        <w:tc>
          <w:tcPr>
            <w:tcW w:w="8700" w:type="dxa"/>
            <w:vAlign w:val="bottom"/>
          </w:tcPr>
          <w:p>
            <w:pPr>
              <w:ind w:left="280"/>
              <w:spacing w:after="0"/>
              <w:rPr>
                <w:sz w:val="20"/>
                <w:szCs w:val="20"/>
                <w:color w:val="auto"/>
              </w:rPr>
            </w:pPr>
            <w:r>
              <w:rPr>
                <w:rFonts w:ascii="Arial" w:cs="Arial" w:eastAsia="Arial" w:hAnsi="Arial"/>
                <w:sz w:val="18"/>
                <w:szCs w:val="18"/>
                <w:color w:val="auto"/>
              </w:rPr>
              <w:t>Deposit of Redemption Price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1106</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 Payable on Redemption Date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1107</w:t>
            </w:r>
          </w:p>
        </w:tc>
        <w:tc>
          <w:tcPr>
            <w:tcW w:w="8700" w:type="dxa"/>
            <w:vAlign w:val="bottom"/>
          </w:tcPr>
          <w:p>
            <w:pPr>
              <w:ind w:left="280"/>
              <w:spacing w:after="0"/>
              <w:rPr>
                <w:sz w:val="20"/>
                <w:szCs w:val="20"/>
                <w:color w:val="auto"/>
              </w:rPr>
            </w:pPr>
            <w:r>
              <w:rPr>
                <w:rFonts w:ascii="Arial" w:cs="Arial" w:eastAsia="Arial" w:hAnsi="Arial"/>
                <w:sz w:val="18"/>
                <w:szCs w:val="18"/>
                <w:color w:val="auto"/>
              </w:rPr>
              <w:t>Securities Redeemed in Part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12 SINKING FUNDS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1201</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Applicability of Article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1202</w:t>
            </w:r>
          </w:p>
        </w:tc>
        <w:tc>
          <w:tcPr>
            <w:tcW w:w="8700" w:type="dxa"/>
            <w:vAlign w:val="bottom"/>
          </w:tcPr>
          <w:p>
            <w:pPr>
              <w:ind w:left="280"/>
              <w:spacing w:after="0"/>
              <w:rPr>
                <w:sz w:val="20"/>
                <w:szCs w:val="20"/>
                <w:color w:val="auto"/>
              </w:rPr>
            </w:pPr>
            <w:r>
              <w:rPr>
                <w:rFonts w:ascii="Arial" w:cs="Arial" w:eastAsia="Arial" w:hAnsi="Arial"/>
                <w:sz w:val="18"/>
                <w:szCs w:val="18"/>
                <w:color w:val="auto"/>
              </w:rPr>
              <w:t>Satisfaction of Sinking Fund Payments with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1203</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Redemption of Securities for Sinking Fund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13 REPAYMENT AT THE OPTION OF HOLDERS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1301</w:t>
            </w:r>
          </w:p>
        </w:tc>
        <w:tc>
          <w:tcPr>
            <w:tcW w:w="870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1302</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Repayment of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1303</w:t>
            </w:r>
          </w:p>
        </w:tc>
        <w:tc>
          <w:tcPr>
            <w:tcW w:w="8700" w:type="dxa"/>
            <w:vAlign w:val="bottom"/>
          </w:tcPr>
          <w:p>
            <w:pPr>
              <w:ind w:left="280"/>
              <w:spacing w:after="0"/>
              <w:rPr>
                <w:sz w:val="20"/>
                <w:szCs w:val="20"/>
                <w:color w:val="auto"/>
              </w:rPr>
            </w:pPr>
            <w:r>
              <w:rPr>
                <w:rFonts w:ascii="Arial" w:cs="Arial" w:eastAsia="Arial" w:hAnsi="Arial"/>
                <w:sz w:val="18"/>
                <w:szCs w:val="18"/>
                <w:color w:val="auto"/>
              </w:rPr>
              <w:t>Exercise of Option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1304</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When Securities Presented for Repayment Become Due and Payable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1305</w:t>
            </w:r>
          </w:p>
        </w:tc>
        <w:tc>
          <w:tcPr>
            <w:tcW w:w="8700" w:type="dxa"/>
            <w:vAlign w:val="bottom"/>
          </w:tcPr>
          <w:p>
            <w:pPr>
              <w:ind w:left="280"/>
              <w:spacing w:after="0"/>
              <w:rPr>
                <w:sz w:val="20"/>
                <w:szCs w:val="20"/>
                <w:color w:val="auto"/>
              </w:rPr>
            </w:pPr>
            <w:r>
              <w:rPr>
                <w:rFonts w:ascii="Arial" w:cs="Arial" w:eastAsia="Arial" w:hAnsi="Arial"/>
                <w:sz w:val="18"/>
                <w:szCs w:val="18"/>
                <w:color w:val="auto"/>
              </w:rPr>
              <w:t>Securities Repaid in Part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14 DEFEASANCE AND COVENANT DEFEASANCE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1401</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1402</w:t>
            </w:r>
          </w:p>
        </w:tc>
        <w:tc>
          <w:tcPr>
            <w:tcW w:w="8700" w:type="dxa"/>
            <w:vAlign w:val="bottom"/>
          </w:tcPr>
          <w:p>
            <w:pPr>
              <w:ind w:left="280"/>
              <w:spacing w:after="0"/>
              <w:rPr>
                <w:sz w:val="20"/>
                <w:szCs w:val="20"/>
                <w:color w:val="auto"/>
              </w:rPr>
            </w:pPr>
            <w:r>
              <w:rPr>
                <w:rFonts w:ascii="Arial" w:cs="Arial" w:eastAsia="Arial" w:hAnsi="Arial"/>
                <w:sz w:val="18"/>
                <w:szCs w:val="18"/>
                <w:color w:val="auto"/>
              </w:rPr>
              <w:t>Defeasance and Discharge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62</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1403</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Covenant Defeasance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1404</w:t>
            </w:r>
          </w:p>
        </w:tc>
        <w:tc>
          <w:tcPr>
            <w:tcW w:w="8700" w:type="dxa"/>
            <w:vAlign w:val="bottom"/>
          </w:tcPr>
          <w:p>
            <w:pPr>
              <w:ind w:left="280"/>
              <w:spacing w:after="0"/>
              <w:rPr>
                <w:sz w:val="20"/>
                <w:szCs w:val="20"/>
                <w:color w:val="auto"/>
              </w:rPr>
            </w:pPr>
            <w:r>
              <w:rPr>
                <w:rFonts w:ascii="Arial" w:cs="Arial" w:eastAsia="Arial" w:hAnsi="Arial"/>
                <w:sz w:val="18"/>
                <w:szCs w:val="18"/>
                <w:color w:val="auto"/>
              </w:rPr>
              <w:t>Conditions to Defeasance or Covenant Defeasance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1405</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15 MEETINGS OF HOLDERS OF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1501</w:t>
            </w:r>
          </w:p>
        </w:tc>
        <w:tc>
          <w:tcPr>
            <w:tcW w:w="8700" w:type="dxa"/>
            <w:vAlign w:val="bottom"/>
          </w:tcPr>
          <w:p>
            <w:pPr>
              <w:ind w:left="280"/>
              <w:spacing w:after="0"/>
              <w:rPr>
                <w:sz w:val="20"/>
                <w:szCs w:val="20"/>
                <w:color w:val="auto"/>
              </w:rPr>
            </w:pPr>
            <w:r>
              <w:rPr>
                <w:rFonts w:ascii="Arial" w:cs="Arial" w:eastAsia="Arial" w:hAnsi="Arial"/>
                <w:sz w:val="18"/>
                <w:szCs w:val="18"/>
                <w:color w:val="auto"/>
              </w:rPr>
              <w:t>Purposes for Which Meetings May Be Called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1502</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Call, Notice and Place of Meetings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1503</w:t>
            </w:r>
          </w:p>
        </w:tc>
        <w:tc>
          <w:tcPr>
            <w:tcW w:w="8700" w:type="dxa"/>
            <w:vAlign w:val="bottom"/>
          </w:tcPr>
          <w:p>
            <w:pPr>
              <w:ind w:left="280"/>
              <w:spacing w:after="0"/>
              <w:rPr>
                <w:sz w:val="20"/>
                <w:szCs w:val="20"/>
                <w:color w:val="auto"/>
              </w:rPr>
            </w:pPr>
            <w:r>
              <w:rPr>
                <w:rFonts w:ascii="Arial" w:cs="Arial" w:eastAsia="Arial" w:hAnsi="Arial"/>
                <w:sz w:val="18"/>
                <w:szCs w:val="18"/>
                <w:color w:val="auto"/>
              </w:rPr>
              <w:t>Persons Entitled to Vote at Meetings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1504</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Quorum; Action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1505</w:t>
            </w:r>
          </w:p>
        </w:tc>
        <w:tc>
          <w:tcPr>
            <w:tcW w:w="8700" w:type="dxa"/>
            <w:vAlign w:val="bottom"/>
          </w:tcPr>
          <w:p>
            <w:pPr>
              <w:ind w:left="28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1506</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Counting Votes and Recording Action of Meetings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16 SUBORDINATION OF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1601</w:t>
            </w:r>
          </w:p>
        </w:tc>
        <w:tc>
          <w:tcPr>
            <w:tcW w:w="8700" w:type="dxa"/>
            <w:vAlign w:val="bottom"/>
          </w:tcPr>
          <w:p>
            <w:pPr>
              <w:ind w:left="280"/>
              <w:spacing w:after="0"/>
              <w:rPr>
                <w:sz w:val="20"/>
                <w:szCs w:val="20"/>
                <w:color w:val="auto"/>
              </w:rPr>
            </w:pPr>
            <w:r>
              <w:rPr>
                <w:rFonts w:ascii="Arial" w:cs="Arial" w:eastAsia="Arial" w:hAnsi="Arial"/>
                <w:sz w:val="18"/>
                <w:szCs w:val="18"/>
                <w:color w:val="auto"/>
              </w:rPr>
              <w:t>Agreement to Subordinate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1602</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Over of Proceeds upon Dissolution, Etc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176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1603</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Payment When Senior Indebtedness in Default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1604</w:t>
            </w:r>
          </w:p>
        </w:tc>
        <w:tc>
          <w:tcPr>
            <w:tcW w:w="8700" w:type="dxa"/>
            <w:vAlign w:val="bottom"/>
          </w:tcPr>
          <w:p>
            <w:pPr>
              <w:ind w:left="280"/>
              <w:spacing w:after="0"/>
              <w:rPr>
                <w:sz w:val="20"/>
                <w:szCs w:val="20"/>
                <w:color w:val="auto"/>
              </w:rPr>
            </w:pPr>
            <w:r>
              <w:rPr>
                <w:rFonts w:ascii="Arial" w:cs="Arial" w:eastAsia="Arial" w:hAnsi="Arial"/>
                <w:sz w:val="18"/>
                <w:szCs w:val="18"/>
                <w:color w:val="auto"/>
              </w:rPr>
              <w:t>Reliance by Senior Indebtedness on Subordination Provisions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69</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1605</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Subrogation to Rights of Holders of Senior Indebtedness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1606</w:t>
            </w:r>
          </w:p>
        </w:tc>
        <w:tc>
          <w:tcPr>
            <w:tcW w:w="8700" w:type="dxa"/>
            <w:vAlign w:val="bottom"/>
          </w:tcPr>
          <w:p>
            <w:pPr>
              <w:ind w:left="280"/>
              <w:spacing w:after="0"/>
              <w:rPr>
                <w:sz w:val="20"/>
                <w:szCs w:val="20"/>
                <w:color w:val="auto"/>
              </w:rPr>
            </w:pPr>
            <w:r>
              <w:rPr>
                <w:rFonts w:ascii="Arial" w:cs="Arial" w:eastAsia="Arial" w:hAnsi="Arial"/>
                <w:sz w:val="18"/>
                <w:szCs w:val="18"/>
                <w:color w:val="auto"/>
              </w:rPr>
              <w:t>Provisions Solely to Define Relative Rights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1607</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Trustee to Effectuate Subordination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1608</w:t>
            </w:r>
          </w:p>
        </w:tc>
        <w:tc>
          <w:tcPr>
            <w:tcW w:w="8700" w:type="dxa"/>
            <w:vAlign w:val="bottom"/>
          </w:tcPr>
          <w:p>
            <w:pPr>
              <w:ind w:left="280"/>
              <w:spacing w:after="0"/>
              <w:rPr>
                <w:sz w:val="20"/>
                <w:szCs w:val="20"/>
                <w:color w:val="auto"/>
              </w:rPr>
            </w:pPr>
            <w:r>
              <w:rPr>
                <w:rFonts w:ascii="Arial" w:cs="Arial" w:eastAsia="Arial" w:hAnsi="Arial"/>
                <w:sz w:val="18"/>
                <w:szCs w:val="18"/>
                <w:color w:val="auto"/>
              </w:rPr>
              <w:t>No Waiver of Subordination Provisions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1609</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 to Trustee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1610</w:t>
            </w:r>
          </w:p>
        </w:tc>
        <w:tc>
          <w:tcPr>
            <w:tcW w:w="8700" w:type="dxa"/>
            <w:vAlign w:val="bottom"/>
          </w:tcPr>
          <w:p>
            <w:pPr>
              <w:ind w:left="280"/>
              <w:spacing w:after="0"/>
              <w:rPr>
                <w:sz w:val="20"/>
                <w:szCs w:val="20"/>
                <w:color w:val="auto"/>
              </w:rPr>
            </w:pPr>
            <w:r>
              <w:rPr>
                <w:rFonts w:ascii="Arial" w:cs="Arial" w:eastAsia="Arial" w:hAnsi="Arial"/>
                <w:sz w:val="18"/>
                <w:szCs w:val="18"/>
                <w:color w:val="auto"/>
              </w:rPr>
              <w:t>Reliance on Judicial Order or Certificate of Liquidating Agent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1611</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Trustee Not Fiduciary for Holders of Senior Indebtedness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1612</w:t>
            </w:r>
          </w:p>
        </w:tc>
        <w:tc>
          <w:tcPr>
            <w:tcW w:w="8700" w:type="dxa"/>
            <w:vAlign w:val="bottom"/>
          </w:tcPr>
          <w:p>
            <w:pPr>
              <w:ind w:left="280"/>
              <w:spacing w:after="0"/>
              <w:rPr>
                <w:sz w:val="20"/>
                <w:szCs w:val="20"/>
                <w:color w:val="auto"/>
              </w:rPr>
            </w:pPr>
            <w:r>
              <w:rPr>
                <w:rFonts w:ascii="Arial" w:cs="Arial" w:eastAsia="Arial" w:hAnsi="Arial"/>
                <w:sz w:val="18"/>
                <w:szCs w:val="18"/>
                <w:color w:val="auto"/>
              </w:rPr>
              <w:t>Rights of Trustee as Holder of Senior Indebtedness; Preservation of Trustee’s Rights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1613</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Article Applicable to Paying Agents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17 CONVERSION OF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1701</w:t>
            </w:r>
          </w:p>
        </w:tc>
        <w:tc>
          <w:tcPr>
            <w:tcW w:w="8700" w:type="dxa"/>
            <w:vAlign w:val="bottom"/>
          </w:tcPr>
          <w:p>
            <w:pPr>
              <w:ind w:left="280"/>
              <w:spacing w:after="0"/>
              <w:rPr>
                <w:sz w:val="20"/>
                <w:szCs w:val="20"/>
                <w:color w:val="auto"/>
              </w:rPr>
            </w:pPr>
            <w:r>
              <w:rPr>
                <w:rFonts w:ascii="Arial" w:cs="Arial" w:eastAsia="Arial" w:hAnsi="Arial"/>
                <w:sz w:val="18"/>
                <w:szCs w:val="18"/>
                <w:color w:val="auto"/>
              </w:rPr>
              <w:t>Applicability of Article; Conversion Privilege and Conversion Price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1702</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 of Conversion Privilege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1703</w:t>
            </w:r>
          </w:p>
        </w:tc>
        <w:tc>
          <w:tcPr>
            <w:tcW w:w="8700" w:type="dxa"/>
            <w:vAlign w:val="bottom"/>
          </w:tcPr>
          <w:p>
            <w:pPr>
              <w:ind w:left="280"/>
              <w:spacing w:after="0"/>
              <w:rPr>
                <w:sz w:val="20"/>
                <w:szCs w:val="20"/>
                <w:color w:val="auto"/>
              </w:rPr>
            </w:pPr>
            <w:r>
              <w:rPr>
                <w:rFonts w:ascii="Arial" w:cs="Arial" w:eastAsia="Arial" w:hAnsi="Arial"/>
                <w:sz w:val="18"/>
                <w:szCs w:val="18"/>
                <w:color w:val="auto"/>
              </w:rPr>
              <w:t>Fractions of Shares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74</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1704</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 of Conversion Price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1705</w:t>
            </w:r>
          </w:p>
        </w:tc>
        <w:tc>
          <w:tcPr>
            <w:tcW w:w="8700" w:type="dxa"/>
            <w:vAlign w:val="bottom"/>
          </w:tcPr>
          <w:p>
            <w:pPr>
              <w:ind w:left="280"/>
              <w:spacing w:after="0"/>
              <w:rPr>
                <w:sz w:val="20"/>
                <w:szCs w:val="20"/>
                <w:color w:val="auto"/>
              </w:rPr>
            </w:pPr>
            <w:r>
              <w:rPr>
                <w:rFonts w:ascii="Arial" w:cs="Arial" w:eastAsia="Arial" w:hAnsi="Arial"/>
                <w:sz w:val="18"/>
                <w:szCs w:val="18"/>
                <w:color w:val="auto"/>
              </w:rPr>
              <w:t>Notice of Adjustments of Conversion Price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77</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1706</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 of Certain Corporate Action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1707</w:t>
            </w:r>
          </w:p>
        </w:tc>
        <w:tc>
          <w:tcPr>
            <w:tcW w:w="8700" w:type="dxa"/>
            <w:vAlign w:val="bottom"/>
          </w:tcPr>
          <w:p>
            <w:pPr>
              <w:ind w:left="280"/>
              <w:spacing w:after="0"/>
              <w:rPr>
                <w:sz w:val="20"/>
                <w:szCs w:val="20"/>
                <w:color w:val="auto"/>
              </w:rPr>
            </w:pPr>
            <w:r>
              <w:rPr>
                <w:rFonts w:ascii="Arial" w:cs="Arial" w:eastAsia="Arial" w:hAnsi="Arial"/>
                <w:sz w:val="18"/>
                <w:szCs w:val="18"/>
                <w:color w:val="auto"/>
              </w:rPr>
              <w:t>Company to Reserve Common Stock</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1708</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Taxes on Conversion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1709</w:t>
            </w:r>
          </w:p>
        </w:tc>
        <w:tc>
          <w:tcPr>
            <w:tcW w:w="8700" w:type="dxa"/>
            <w:vAlign w:val="bottom"/>
          </w:tcPr>
          <w:p>
            <w:pPr>
              <w:ind w:left="280"/>
              <w:spacing w:after="0"/>
              <w:rPr>
                <w:sz w:val="20"/>
                <w:szCs w:val="20"/>
                <w:color w:val="auto"/>
              </w:rPr>
            </w:pPr>
            <w:r>
              <w:rPr>
                <w:rFonts w:ascii="Arial" w:cs="Arial" w:eastAsia="Arial" w:hAnsi="Arial"/>
                <w:sz w:val="18"/>
                <w:szCs w:val="18"/>
                <w:color w:val="auto"/>
              </w:rPr>
              <w:t>Covenants as to Common Stock</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1710</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Cancellation of Converted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1711</w:t>
            </w:r>
          </w:p>
        </w:tc>
        <w:tc>
          <w:tcPr>
            <w:tcW w:w="8700" w:type="dxa"/>
            <w:vAlign w:val="bottom"/>
          </w:tcPr>
          <w:p>
            <w:pPr>
              <w:ind w:left="280"/>
              <w:spacing w:after="0"/>
              <w:rPr>
                <w:sz w:val="20"/>
                <w:szCs w:val="20"/>
                <w:color w:val="auto"/>
              </w:rPr>
            </w:pPr>
            <w:r>
              <w:rPr>
                <w:rFonts w:ascii="Arial" w:cs="Arial" w:eastAsia="Arial" w:hAnsi="Arial"/>
                <w:sz w:val="18"/>
                <w:szCs w:val="18"/>
                <w:color w:val="auto"/>
              </w:rPr>
              <w:t>Provisions in Case of Consolidation, Merger or Sale of Assets; Special Distributions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1712</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Trustee Adjustment Disclaimer; Company Determination Final</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1713</w:t>
            </w:r>
          </w:p>
        </w:tc>
        <w:tc>
          <w:tcPr>
            <w:tcW w:w="8700" w:type="dxa"/>
            <w:vAlign w:val="bottom"/>
          </w:tcPr>
          <w:p>
            <w:pPr>
              <w:ind w:left="280"/>
              <w:spacing w:after="0"/>
              <w:rPr>
                <w:sz w:val="20"/>
                <w:szCs w:val="20"/>
                <w:color w:val="auto"/>
              </w:rPr>
            </w:pPr>
            <w:r>
              <w:rPr>
                <w:rFonts w:ascii="Arial" w:cs="Arial" w:eastAsia="Arial" w:hAnsi="Arial"/>
                <w:sz w:val="18"/>
                <w:szCs w:val="18"/>
                <w:color w:val="auto"/>
              </w:rPr>
              <w:t>When No Adjustment Required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16"/>
        </w:trPr>
        <w:tc>
          <w:tcPr>
            <w:tcW w:w="1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1714</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Equivalent Adjustments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and tie between the Trust Indenture Act of 1939, as amended (the “Trust Indenture Act” or “TIA”) and the Indenture, dated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 20____.</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ind w:left="1680"/>
              <w:spacing w:after="0"/>
              <w:rPr>
                <w:sz w:val="20"/>
                <w:szCs w:val="20"/>
                <w:color w:val="auto"/>
              </w:rPr>
            </w:pPr>
            <w:r>
              <w:rPr>
                <w:rFonts w:ascii="Arial" w:cs="Arial" w:eastAsia="Arial" w:hAnsi="Arial"/>
                <w:sz w:val="18"/>
                <w:szCs w:val="18"/>
                <w:b w:val="1"/>
                <w:bCs w:val="1"/>
                <w:color w:val="auto"/>
              </w:rPr>
              <w:t>Trust Indenture Act Section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Indenture Section</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310(a)(1)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607</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(a)(2)</w:t>
            </w:r>
          </w:p>
        </w:tc>
        <w:tc>
          <w:tcPr>
            <w:tcW w:w="5500" w:type="dxa"/>
            <w:vAlign w:val="bottom"/>
          </w:tcPr>
          <w:p>
            <w:pPr>
              <w:jc w:val="center"/>
              <w:spacing w:after="0"/>
              <w:rPr>
                <w:sz w:val="20"/>
                <w:szCs w:val="20"/>
                <w:color w:val="auto"/>
              </w:rPr>
            </w:pPr>
            <w:r>
              <w:rPr>
                <w:rFonts w:ascii="Arial" w:cs="Arial" w:eastAsia="Arial" w:hAnsi="Arial"/>
                <w:sz w:val="18"/>
                <w:szCs w:val="18"/>
                <w:color w:val="auto"/>
                <w:w w:val="86"/>
              </w:rPr>
              <w:t>607</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607, 608</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 312(c)</w:t>
            </w:r>
          </w:p>
        </w:tc>
        <w:tc>
          <w:tcPr>
            <w:tcW w:w="5500" w:type="dxa"/>
            <w:vAlign w:val="bottom"/>
          </w:tcPr>
          <w:p>
            <w:pPr>
              <w:jc w:val="center"/>
              <w:spacing w:after="0"/>
              <w:rPr>
                <w:sz w:val="20"/>
                <w:szCs w:val="20"/>
                <w:color w:val="auto"/>
              </w:rPr>
            </w:pPr>
            <w:r>
              <w:rPr>
                <w:rFonts w:ascii="Arial" w:cs="Arial" w:eastAsia="Arial" w:hAnsi="Arial"/>
                <w:sz w:val="18"/>
                <w:szCs w:val="18"/>
                <w:color w:val="auto"/>
                <w:w w:val="86"/>
              </w:rPr>
              <w:t>701</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313(a)</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702</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w:t>
            </w:r>
          </w:p>
        </w:tc>
        <w:tc>
          <w:tcPr>
            <w:tcW w:w="5500" w:type="dxa"/>
            <w:vAlign w:val="bottom"/>
          </w:tcPr>
          <w:p>
            <w:pPr>
              <w:jc w:val="center"/>
              <w:spacing w:after="0"/>
              <w:rPr>
                <w:sz w:val="20"/>
                <w:szCs w:val="20"/>
                <w:color w:val="auto"/>
              </w:rPr>
            </w:pPr>
            <w:r>
              <w:rPr>
                <w:rFonts w:ascii="Arial" w:cs="Arial" w:eastAsia="Arial" w:hAnsi="Arial"/>
                <w:sz w:val="18"/>
                <w:szCs w:val="18"/>
                <w:color w:val="auto"/>
                <w:w w:val="86"/>
              </w:rPr>
              <w:t>702</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314(a)</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703</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(a)(4)</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1008</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(c)(1)</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102</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(c)(2)</w:t>
            </w:r>
          </w:p>
        </w:tc>
        <w:tc>
          <w:tcPr>
            <w:tcW w:w="5500" w:type="dxa"/>
            <w:vAlign w:val="bottom"/>
          </w:tcPr>
          <w:p>
            <w:pPr>
              <w:jc w:val="center"/>
              <w:spacing w:after="0"/>
              <w:rPr>
                <w:sz w:val="20"/>
                <w:szCs w:val="20"/>
                <w:color w:val="auto"/>
              </w:rPr>
            </w:pPr>
            <w:r>
              <w:rPr>
                <w:rFonts w:ascii="Arial" w:cs="Arial" w:eastAsia="Arial" w:hAnsi="Arial"/>
                <w:sz w:val="18"/>
                <w:szCs w:val="18"/>
                <w:color w:val="auto"/>
                <w:w w:val="86"/>
              </w:rPr>
              <w:t>102</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102</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 315(b)</w:t>
            </w:r>
          </w:p>
        </w:tc>
        <w:tc>
          <w:tcPr>
            <w:tcW w:w="5500" w:type="dxa"/>
            <w:vAlign w:val="bottom"/>
          </w:tcPr>
          <w:p>
            <w:pPr>
              <w:jc w:val="center"/>
              <w:spacing w:after="0"/>
              <w:rPr>
                <w:sz w:val="20"/>
                <w:szCs w:val="20"/>
                <w:color w:val="auto"/>
              </w:rPr>
            </w:pPr>
            <w:r>
              <w:rPr>
                <w:rFonts w:ascii="Arial" w:cs="Arial" w:eastAsia="Arial" w:hAnsi="Arial"/>
                <w:sz w:val="18"/>
                <w:szCs w:val="18"/>
                <w:color w:val="auto"/>
                <w:w w:val="86"/>
              </w:rPr>
              <w:t>601</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316(a) (last sentence)</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 (“Outstanding”)</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(a)(1)(A)</w:t>
            </w:r>
          </w:p>
        </w:tc>
        <w:tc>
          <w:tcPr>
            <w:tcW w:w="5500" w:type="dxa"/>
            <w:vAlign w:val="bottom"/>
          </w:tcPr>
          <w:p>
            <w:pPr>
              <w:jc w:val="center"/>
              <w:spacing w:after="0"/>
              <w:rPr>
                <w:sz w:val="20"/>
                <w:szCs w:val="20"/>
                <w:color w:val="auto"/>
              </w:rPr>
            </w:pPr>
            <w:r>
              <w:rPr>
                <w:rFonts w:ascii="Arial" w:cs="Arial" w:eastAsia="Arial" w:hAnsi="Arial"/>
                <w:sz w:val="18"/>
                <w:szCs w:val="18"/>
                <w:color w:val="auto"/>
                <w:w w:val="86"/>
              </w:rPr>
              <w:t>512</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(a)(1)(B)</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513</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w:t>
            </w:r>
          </w:p>
        </w:tc>
        <w:tc>
          <w:tcPr>
            <w:tcW w:w="5500" w:type="dxa"/>
            <w:vAlign w:val="bottom"/>
          </w:tcPr>
          <w:p>
            <w:pPr>
              <w:jc w:val="center"/>
              <w:spacing w:after="0"/>
              <w:rPr>
                <w:sz w:val="20"/>
                <w:szCs w:val="20"/>
                <w:color w:val="auto"/>
              </w:rPr>
            </w:pPr>
            <w:r>
              <w:rPr>
                <w:rFonts w:ascii="Arial" w:cs="Arial" w:eastAsia="Arial" w:hAnsi="Arial"/>
                <w:sz w:val="18"/>
                <w:szCs w:val="18"/>
                <w:color w:val="auto"/>
                <w:w w:val="86"/>
              </w:rPr>
              <w:t>508</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317(a)(1)</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503, 505</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(a)(2)</w:t>
            </w:r>
          </w:p>
        </w:tc>
        <w:tc>
          <w:tcPr>
            <w:tcW w:w="5500" w:type="dxa"/>
            <w:vAlign w:val="bottom"/>
          </w:tcPr>
          <w:p>
            <w:pPr>
              <w:jc w:val="center"/>
              <w:spacing w:after="0"/>
              <w:rPr>
                <w:sz w:val="20"/>
                <w:szCs w:val="20"/>
                <w:color w:val="auto"/>
              </w:rPr>
            </w:pPr>
            <w:r>
              <w:rPr>
                <w:rFonts w:ascii="Arial" w:cs="Arial" w:eastAsia="Arial" w:hAnsi="Arial"/>
                <w:sz w:val="18"/>
                <w:szCs w:val="18"/>
                <w:color w:val="auto"/>
                <w:w w:val="86"/>
              </w:rPr>
              <w:t>504</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318(a)</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111</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(d)</w:t>
            </w:r>
          </w:p>
        </w:tc>
        <w:tc>
          <w:tcPr>
            <w:tcW w:w="5500" w:type="dxa"/>
            <w:vAlign w:val="bottom"/>
          </w:tcPr>
          <w:p>
            <w:pPr>
              <w:jc w:val="center"/>
              <w:spacing w:after="0"/>
              <w:rPr>
                <w:sz w:val="20"/>
                <w:szCs w:val="20"/>
                <w:color w:val="auto"/>
              </w:rPr>
            </w:pPr>
            <w:r>
              <w:rPr>
                <w:rFonts w:ascii="Arial" w:cs="Arial" w:eastAsia="Arial" w:hAnsi="Arial"/>
                <w:sz w:val="18"/>
                <w:szCs w:val="18"/>
                <w:color w:val="auto"/>
                <w:w w:val="86"/>
              </w:rPr>
              <w:t>111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(INDENTURE, dated as of _________, 20___, between OPTIMIZERX CORPORATION, a corporation organized under the laws of the State of Nevada</w:t>
      </w:r>
    </w:p>
    <w:p>
      <w:pPr>
        <w:spacing w:after="0" w:line="46"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(hereinafter called the “Company”), having its principal office at 400 Water Street, Suite 200, Rochester, MI 48307, and [</w:t>
      </w:r>
      <w:r>
        <w:rPr>
          <w:rFonts w:ascii="Arial" w:cs="Arial" w:eastAsia="Arial" w:hAnsi="Arial"/>
          <w:sz w:val="17"/>
          <w:szCs w:val="17"/>
          <w:u w:val="single" w:color="auto"/>
          <w:color w:val="auto"/>
        </w:rPr>
        <w:t>NAME OF TRUSTEE</w:t>
      </w:r>
      <w:r>
        <w:rPr>
          <w:rFonts w:ascii="Arial" w:cs="Arial" w:eastAsia="Arial" w:hAnsi="Arial"/>
          <w:sz w:val="17"/>
          <w:szCs w:val="17"/>
          <w:color w:val="auto"/>
        </w:rPr>
        <w:t>], as Trustee hereunder (hereinafter called the “Trustee”), having a Corporate Trust Office at [____________________________].</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 provide for the issuance from time to time of the Securities, to be issued in one or more Series as provided in this Indenture.</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THIS INDENTURE WITNESSETH</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For all purposes of this Indenture, except as otherwise expressly provided or unless the context otherwise requires:</w:t>
      </w:r>
    </w:p>
    <w:p>
      <w:pPr>
        <w:spacing w:after="0" w:line="248" w:lineRule="exact"/>
        <w:rPr>
          <w:sz w:val="20"/>
          <w:szCs w:val="20"/>
          <w:color w:val="auto"/>
        </w:rPr>
      </w:pPr>
    </w:p>
    <w:p>
      <w:pPr>
        <w:ind w:left="920" w:hanging="264"/>
        <w:spacing w:after="0"/>
        <w:tabs>
          <w:tab w:leader="none" w:pos="9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right="80" w:firstLine="656"/>
        <w:spacing w:after="0" w:line="263" w:lineRule="auto"/>
        <w:tabs>
          <w:tab w:leader="none" w:pos="9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225" w:lineRule="exact"/>
        <w:rPr>
          <w:rFonts w:ascii="Arial" w:cs="Arial" w:eastAsia="Arial" w:hAnsi="Arial"/>
          <w:sz w:val="18"/>
          <w:szCs w:val="18"/>
          <w:color w:val="auto"/>
        </w:rPr>
      </w:pPr>
    </w:p>
    <w:p>
      <w:pPr>
        <w:ind w:right="180" w:firstLine="656"/>
        <w:spacing w:after="0" w:line="277" w:lineRule="auto"/>
        <w:tabs>
          <w:tab w:leader="none" w:pos="9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104.</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8" w:right="499" w:bottom="1440" w:gutter="0" w:footer="0" w:header="0"/>
        </w:sectPr>
      </w:pPr>
    </w:p>
    <w:bookmarkStart w:id="129" w:name="page130"/>
    <w:bookmarkEnd w:id="129"/>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611 hereof to act on behalf of the Trustee to authenticate Securities of one or more Series.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301 which is payable to the bearer.</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4"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Resolution</w:t>
      </w:r>
      <w:r>
        <w:rPr>
          <w:rFonts w:ascii="Arial" w:cs="Arial" w:eastAsia="Arial" w:hAnsi="Arial"/>
          <w:sz w:val="16"/>
          <w:szCs w:val="16"/>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6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Luxembourg, société anonyme, or its successor.</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the closing price of a share of Common Stock of the Company as reported on the NASDAQ Capital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thereunder.</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4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“Company Order”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has the meaning specified in Section 1711.</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Event</w:t>
      </w:r>
      <w:r>
        <w:rPr>
          <w:rFonts w:ascii="Arial" w:cs="Arial" w:eastAsia="Arial" w:hAnsi="Arial"/>
          <w:sz w:val="17"/>
          <w:szCs w:val="17"/>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has the meaning specified in Section 1701.</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limited liability companies and business trusts.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Record Date</w:t>
      </w:r>
      <w:r>
        <w:rPr>
          <w:rFonts w:ascii="Arial" w:cs="Arial" w:eastAsia="Arial" w:hAnsi="Arial"/>
          <w:sz w:val="18"/>
          <w:szCs w:val="18"/>
          <w:color w:val="auto"/>
        </w:rPr>
        <w:t>” has the meaning specified in Section 1711.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the sign “$”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Euroclear</w:t>
      </w:r>
      <w:r>
        <w:rPr>
          <w:rFonts w:ascii="Arial" w:cs="Arial" w:eastAsia="Arial" w:hAnsi="Arial"/>
          <w:sz w:val="17"/>
          <w:szCs w:val="17"/>
          <w:color w:val="auto"/>
        </w:rPr>
        <w:t>” means Morgan Guaranty Trust Company of New York, Brussels office, or its successor, as operator of the Euroclear System.</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Communities</w:t>
      </w:r>
      <w:r>
        <w:rPr>
          <w:rFonts w:ascii="Arial" w:cs="Arial" w:eastAsia="Arial" w:hAnsi="Arial"/>
          <w:sz w:val="18"/>
          <w:szCs w:val="18"/>
          <w:color w:val="auto"/>
        </w:rPr>
        <w:t>” means the European Economic Community, the European Coal and Steel Community and the European Atomic Energy Community.</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as in force at the date as of which this Indenture was executed; provided, however, that in the event the Exchange Act is amended after such date, “Exchange Act” means to the extent required by any such amendment, the Exchange Act as so amended.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Currency</w:t>
      </w:r>
      <w:r>
        <w:rPr>
          <w:rFonts w:ascii="Arial" w:cs="Arial" w:eastAsia="Arial" w:hAnsi="Arial"/>
          <w:sz w:val="16"/>
          <w:szCs w:val="16"/>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2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except as otherwise provided herein, generally accepted accounting principles, as in effect from time to time, as used in the United States applied on a consistent basis.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2" w:name="page133"/>
    <w:bookmarkEnd w:id="132"/>
    <w:p>
      <w:pPr>
        <w:ind w:right="2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provided, however, that a Guaranty by any Person shall not include endorsements by such Person for collection or deposit, in either case in the ordinary course of business. The terms “Guaranteed,” “Guaranteeing” and “Guarantor” shall have meanings correlative to the foregoing.</w:t>
      </w:r>
    </w:p>
    <w:p>
      <w:pPr>
        <w:spacing w:after="0" w:line="1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any Person, without duplication, (i) any Obligation of such Person relating to any indebtedness of such Person (A) for borrowed money (whether or not the recourse of the lender is to the whole of the assets, of such person or only to a portion thereof), (B) 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 or services purchased in the ordinary course of business (other than trade accounts payable arising in the ordinary course of business), (D) 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18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provided, however,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shall mean interest payable after Maturity.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of the Distribution</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w:t>
      </w:r>
      <w:r>
        <w:rPr>
          <w:rFonts w:ascii="Arial" w:cs="Arial" w:eastAsia="Arial" w:hAnsi="Arial"/>
          <w:sz w:val="18"/>
          <w:szCs w:val="18"/>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4" w:name="page135"/>
    <w:bookmarkEnd w:id="134"/>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1520" w:hanging="216"/>
        <w:spacing w:after="0"/>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ind w:firstLine="1304"/>
        <w:spacing w:after="0" w:line="257" w:lineRule="auto"/>
        <w:tabs>
          <w:tab w:leader="none" w:pos="1561"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however, that, if such Securities are to be redeemed, notice of such redemption has been duly given pursuant to this Indenture or provision therefor satisfactory to the Trustee has been made;</w:t>
      </w:r>
    </w:p>
    <w:p>
      <w:pPr>
        <w:spacing w:after="0" w:line="187" w:lineRule="exact"/>
        <w:rPr>
          <w:rFonts w:ascii="Arial" w:cs="Arial" w:eastAsia="Arial" w:hAnsi="Arial"/>
          <w:sz w:val="18"/>
          <w:szCs w:val="18"/>
          <w:color w:val="auto"/>
        </w:rPr>
      </w:pPr>
    </w:p>
    <w:p>
      <w:pPr>
        <w:ind w:right="360" w:firstLine="1304"/>
        <w:spacing w:after="0" w:line="277" w:lineRule="auto"/>
        <w:tabs>
          <w:tab w:leader="none" w:pos="16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170" w:lineRule="exact"/>
        <w:rPr>
          <w:rFonts w:ascii="Arial" w:cs="Arial" w:eastAsia="Arial" w:hAnsi="Arial"/>
          <w:sz w:val="18"/>
          <w:szCs w:val="18"/>
          <w:color w:val="auto"/>
        </w:rPr>
      </w:pPr>
    </w:p>
    <w:p>
      <w:pPr>
        <w:ind w:right="380" w:firstLine="1304"/>
        <w:spacing w:after="0" w:line="311" w:lineRule="auto"/>
        <w:tabs>
          <w:tab w:leader="none" w:pos="1601" w:val="left"/>
        </w:tabs>
        <w:numPr>
          <w:ilvl w:val="0"/>
          <w:numId w:val="99"/>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provided, however,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or Make-Whole Amount, if any) or interest on any Securities or coupons on behalf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Blockage Notice</w:t>
      </w:r>
      <w:r>
        <w:rPr>
          <w:rFonts w:ascii="Arial" w:cs="Arial" w:eastAsia="Arial" w:hAnsi="Arial"/>
          <w:sz w:val="18"/>
          <w:szCs w:val="18"/>
          <w:color w:val="auto"/>
        </w:rPr>
        <w:t>” and “Payment Blockage Period” have the respective meanings specified in Section 1603.</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46"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Place of Payment</w:t>
      </w:r>
      <w:r>
        <w:rPr>
          <w:rFonts w:ascii="Arial" w:cs="Arial" w:eastAsia="Arial" w:hAnsi="Arial"/>
          <w:sz w:val="16"/>
          <w:szCs w:val="16"/>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24"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Price</w:t>
      </w:r>
      <w:r>
        <w:rPr>
          <w:rFonts w:ascii="Arial" w:cs="Arial" w:eastAsia="Arial" w:hAnsi="Arial"/>
          <w:sz w:val="17"/>
          <w:szCs w:val="17"/>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shall mean any Security which is registered in the Security Register.</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the price at which it is to be repaid by or pursuant to this Indenture.</w:t>
      </w:r>
    </w:p>
    <w:p>
      <w:pPr>
        <w:spacing w:after="0" w:line="17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Payment</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and “Securities</w:t>
      </w:r>
      <w:r>
        <w:rPr>
          <w:rFonts w:ascii="Arial" w:cs="Arial" w:eastAsia="Arial" w:hAnsi="Arial"/>
          <w:sz w:val="18"/>
          <w:szCs w:val="18"/>
          <w:color w:val="auto"/>
        </w:rPr>
        <w:t>” has the meaning stated in the first recital of this Indenture and, more particularly, means any Security or Securities authenticated and delivered under this Indenture; provided, however,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 such Indebtedness; (2) any Indebtedness which by its terms refers explicitly to the Securities and states that such Indebtedness shall not be senior, shall be pari passu or shall be subordinated in right of payment to the Securities; and (3) with respect to any series of Securities, any Indebtedness of the Company evidenced by Securities of the same or of another series. Notwithstanding anything to the contrary in the foregoing, Senior Indebtedness shall not include: (a) Indebtedness of or amounts owed by the Company for compensation to employees, or for goods, materials or services purchased in the ordinary course of business, or (b) Indebtedness of the Company to a Subsidiary of the Company.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Series</w:t>
      </w:r>
      <w:r>
        <w:rPr>
          <w:rFonts w:ascii="Arial" w:cs="Arial" w:eastAsia="Arial" w:hAnsi="Arial"/>
          <w:sz w:val="17"/>
          <w:szCs w:val="17"/>
          <w:color w:val="auto"/>
        </w:rPr>
        <w:t>” of Securities means all securities denoted as part of the same series authorized by or pursuant to a particular Board Resolution.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Term 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which is a “significant subsidiary” (as defined in Article I, Rule 1-02 of Regulation S-X, promulgated under the Securities Act of 1933, as amended) of the Company.</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Company pursuant to Section 307.</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37" w:name="page138"/>
    <w:bookmarkEnd w:id="137"/>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Capital Market is open for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“TIA” means the Trust Indenture Act of 1939, as amended and as in force at the date as of which this Indenture was executed, except as provided in Section 905.</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however,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Distribution</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to Maturity</w:t>
      </w:r>
      <w:r>
        <w:rPr>
          <w:rFonts w:ascii="Arial" w:cs="Arial" w:eastAsia="Arial" w:hAnsi="Arial"/>
          <w:sz w:val="18"/>
          <w:szCs w:val="18"/>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(including certificates delivered pursuant to Section 1008) shall include:</w:t>
      </w:r>
    </w:p>
    <w:p>
      <w:pPr>
        <w:spacing w:after="0" w:line="170" w:lineRule="exact"/>
        <w:rPr>
          <w:sz w:val="20"/>
          <w:szCs w:val="20"/>
          <w:color w:val="auto"/>
        </w:rPr>
      </w:pPr>
    </w:p>
    <w:p>
      <w:pPr>
        <w:ind w:left="1300" w:right="60" w:hanging="644"/>
        <w:spacing w:after="0" w:line="277"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condition or covenant and the definitions herein relating thereto;</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ind w:left="1300" w:right="140" w:hanging="644"/>
        <w:spacing w:after="0" w:line="277"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225" w:lineRule="exact"/>
        <w:rPr>
          <w:sz w:val="20"/>
          <w:szCs w:val="20"/>
          <w:color w:val="auto"/>
        </w:rPr>
      </w:pPr>
    </w:p>
    <w:p>
      <w:pPr>
        <w:ind w:right="40" w:firstLine="1304"/>
        <w:spacing w:after="0" w:line="286" w:lineRule="auto"/>
        <w:tabs>
          <w:tab w:leader="none" w:pos="1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9" w:name="page140"/>
    <w:bookmarkEnd w:id="139"/>
    <w:p>
      <w:pPr>
        <w:ind w:left="-40" w:right="320" w:firstLine="1304"/>
        <w:spacing w:after="0" w:line="255" w:lineRule="auto"/>
        <w:tabs>
          <w:tab w:leader="none" w:pos="15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92" w:lineRule="exact"/>
        <w:rPr>
          <w:rFonts w:ascii="Arial" w:cs="Arial" w:eastAsia="Arial" w:hAnsi="Arial"/>
          <w:sz w:val="18"/>
          <w:szCs w:val="18"/>
          <w:color w:val="auto"/>
        </w:rPr>
      </w:pPr>
    </w:p>
    <w:p>
      <w:pPr>
        <w:ind w:left="-40" w:right="280" w:firstLine="1304"/>
        <w:spacing w:after="0" w:line="308" w:lineRule="auto"/>
        <w:tabs>
          <w:tab w:leader="none" w:pos="15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46" w:lineRule="exact"/>
        <w:rPr>
          <w:rFonts w:ascii="Arial" w:cs="Arial" w:eastAsia="Arial" w:hAnsi="Arial"/>
          <w:sz w:val="17"/>
          <w:szCs w:val="17"/>
          <w:color w:val="auto"/>
        </w:rPr>
      </w:pPr>
    </w:p>
    <w:p>
      <w:pPr>
        <w:ind w:left="-40" w:firstLine="1304"/>
        <w:spacing w:after="0" w:line="290" w:lineRule="auto"/>
        <w:tabs>
          <w:tab w:leader="none" w:pos="151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65" w:lineRule="exact"/>
        <w:rPr>
          <w:rFonts w:ascii="Arial" w:cs="Arial" w:eastAsia="Arial" w:hAnsi="Arial"/>
          <w:sz w:val="16"/>
          <w:szCs w:val="16"/>
          <w:color w:val="auto"/>
        </w:rPr>
      </w:pPr>
    </w:p>
    <w:p>
      <w:pPr>
        <w:ind w:left="-40" w:right="60" w:firstLine="1304"/>
        <w:spacing w:after="0" w:line="287" w:lineRule="auto"/>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71" w:lineRule="exact"/>
        <w:rPr>
          <w:rFonts w:ascii="Arial" w:cs="Arial" w:eastAsia="Arial" w:hAnsi="Arial"/>
          <w:sz w:val="16"/>
          <w:szCs w:val="16"/>
          <w:color w:val="auto"/>
        </w:rPr>
      </w:pPr>
    </w:p>
    <w:p>
      <w:pPr>
        <w:ind w:left="-40" w:right="200" w:firstLine="1304"/>
        <w:spacing w:after="0" w:line="301" w:lineRule="auto"/>
        <w:tabs>
          <w:tab w:leader="none" w:pos="148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40" w:name="page141"/>
    <w:bookmarkEnd w:id="140"/>
    <w:p>
      <w:pPr>
        <w:ind w:firstLine="648"/>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right="320" w:firstLine="1304"/>
        <w:spacing w:after="0" w:line="263" w:lineRule="auto"/>
        <w:tabs>
          <w:tab w:leader="none" w:pos="155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to or with the Trustee at [_____________] or at any other address previously furnished in writing to the Company by the Trustee, Attention: [___________]; or</w:t>
      </w:r>
    </w:p>
    <w:p>
      <w:pPr>
        <w:spacing w:after="0" w:line="183" w:lineRule="exact"/>
        <w:rPr>
          <w:rFonts w:ascii="Arial" w:cs="Arial" w:eastAsia="Arial" w:hAnsi="Arial"/>
          <w:sz w:val="18"/>
          <w:szCs w:val="18"/>
          <w:color w:val="auto"/>
        </w:rPr>
      </w:pPr>
    </w:p>
    <w:p>
      <w:pPr>
        <w:jc w:val="both"/>
        <w:ind w:right="380" w:firstLine="1304"/>
        <w:spacing w:after="0" w:line="311" w:lineRule="auto"/>
        <w:tabs>
          <w:tab w:leader="none" w:pos="155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[_____________]; or</w:t>
      </w:r>
    </w:p>
    <w:p>
      <w:pPr>
        <w:spacing w:after="0" w:line="148" w:lineRule="exact"/>
        <w:rPr>
          <w:rFonts w:ascii="Arial" w:cs="Arial" w:eastAsia="Arial" w:hAnsi="Arial"/>
          <w:sz w:val="16"/>
          <w:szCs w:val="16"/>
          <w:color w:val="auto"/>
        </w:rPr>
      </w:pPr>
    </w:p>
    <w:p>
      <w:pPr>
        <w:ind w:right="280" w:firstLine="1304"/>
        <w:spacing w:after="0" w:line="263" w:lineRule="auto"/>
        <w:tabs>
          <w:tab w:leader="none" w:pos="155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 [___________]; and if to the Company at facsimile number [_____________].</w:t>
      </w:r>
    </w:p>
    <w:p>
      <w:pPr>
        <w:spacing w:after="0" w:line="18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7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41" w:name="page142"/>
    <w:bookmarkEnd w:id="141"/>
    <w:p>
      <w:pPr>
        <w:ind w:right="40"/>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6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860" w:firstLine="648"/>
        <w:spacing w:after="0" w:line="342"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Severability Clause</w:t>
      </w:r>
      <w:r>
        <w:rPr>
          <w:rFonts w:ascii="Arial" w:cs="Arial" w:eastAsia="Arial" w:hAnsi="Arial"/>
          <w:sz w:val="16"/>
          <w:szCs w:val="16"/>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2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2" w:name="page143"/>
    <w:bookmarkEnd w:id="142"/>
    <w:p>
      <w:pPr>
        <w:ind w:right="20" w:firstLine="648"/>
        <w:spacing w:after="0" w:line="287"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Limited Liability; Immunity of Stockholders, Directors, Officers and Agents of the Company</w:t>
      </w:r>
      <w:r>
        <w:rPr>
          <w:rFonts w:ascii="Arial" w:cs="Arial" w:eastAsia="Arial" w:hAnsi="Arial"/>
          <w:sz w:val="16"/>
          <w:szCs w:val="16"/>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7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FORMS</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xml:space="preserve">. The Registered Securities, if any, of each series and the Bearer Securities, if any, of each series and related coupons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8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___________________________</w:t>
      </w:r>
      <w:r>
        <w:rPr>
          <w:sz w:val="20"/>
          <w:szCs w:val="20"/>
          <w:color w:val="auto"/>
        </w:rPr>
        <w:tab/>
      </w:r>
      <w:r>
        <w:rPr>
          <w:rFonts w:ascii="Arial" w:cs="Arial" w:eastAsia="Arial" w:hAnsi="Arial"/>
          <w:sz w:val="16"/>
          <w:szCs w:val="16"/>
          <w:color w:val="auto"/>
        </w:rPr>
        <w:t>[NAME OF TRUSTEE], as Trustee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ind w:firstLine="648"/>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Securities Issuable in Global Form</w:t>
      </w:r>
      <w:r>
        <w:rPr>
          <w:rFonts w:ascii="Arial" w:cs="Arial" w:eastAsia="Arial" w:hAnsi="Arial"/>
          <w:sz w:val="16"/>
          <w:szCs w:val="16"/>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65" w:lineRule="exact"/>
        <w:rPr>
          <w:sz w:val="20"/>
          <w:szCs w:val="20"/>
          <w:color w:val="auto"/>
        </w:rPr>
      </w:pPr>
    </w:p>
    <w:p>
      <w:pPr>
        <w:ind w:right="340" w:firstLine="1304"/>
        <w:spacing w:after="0" w:line="277" w:lineRule="auto"/>
        <w:tabs>
          <w:tab w:leader="none" w:pos="15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170" w:lineRule="exact"/>
        <w:rPr>
          <w:rFonts w:ascii="Arial" w:cs="Arial" w:eastAsia="Arial" w:hAnsi="Arial"/>
          <w:sz w:val="18"/>
          <w:szCs w:val="18"/>
          <w:color w:val="auto"/>
        </w:rPr>
      </w:pPr>
    </w:p>
    <w:p>
      <w:pPr>
        <w:ind w:right="180" w:firstLine="1304"/>
        <w:spacing w:after="0" w:line="259" w:lineRule="auto"/>
        <w:tabs>
          <w:tab w:leader="none" w:pos="15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1305 or 1702) and the minimum authorized denominations with respect to the Securities of such series;</w:t>
      </w:r>
    </w:p>
    <w:p>
      <w:pPr>
        <w:spacing w:after="0" w:line="186" w:lineRule="exact"/>
        <w:rPr>
          <w:rFonts w:ascii="Arial" w:cs="Arial" w:eastAsia="Arial" w:hAnsi="Arial"/>
          <w:sz w:val="18"/>
          <w:szCs w:val="18"/>
          <w:color w:val="auto"/>
        </w:rPr>
      </w:pPr>
    </w:p>
    <w:p>
      <w:pPr>
        <w:ind w:right="100" w:firstLine="1304"/>
        <w:spacing w:after="0" w:line="311" w:lineRule="auto"/>
        <w:tabs>
          <w:tab w:leader="none" w:pos="155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148" w:lineRule="exact"/>
        <w:rPr>
          <w:rFonts w:ascii="Arial" w:cs="Arial" w:eastAsia="Arial" w:hAnsi="Arial"/>
          <w:sz w:val="16"/>
          <w:szCs w:val="16"/>
          <w:color w:val="auto"/>
        </w:rPr>
      </w:pPr>
    </w:p>
    <w:p>
      <w:pPr>
        <w:ind w:right="300" w:firstLine="1304"/>
        <w:spacing w:after="0" w:line="342" w:lineRule="auto"/>
        <w:tabs>
          <w:tab w:leader="none" w:pos="155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date or dates, or the method for determining such date or dates, on which the principal of such Securities will be payable;</w:t>
      </w:r>
    </w:p>
    <w:p>
      <w:pPr>
        <w:spacing w:after="0" w:line="236" w:lineRule="exact"/>
        <w:rPr>
          <w:rFonts w:ascii="Arial" w:cs="Arial" w:eastAsia="Arial" w:hAnsi="Arial"/>
          <w:sz w:val="17"/>
          <w:szCs w:val="17"/>
          <w:color w:val="auto"/>
        </w:rPr>
      </w:pPr>
    </w:p>
    <w:p>
      <w:pPr>
        <w:ind w:right="460" w:firstLine="1304"/>
        <w:spacing w:after="0" w:line="277" w:lineRule="auto"/>
        <w:tabs>
          <w:tab w:leader="none" w:pos="15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170" w:lineRule="exact"/>
        <w:rPr>
          <w:rFonts w:ascii="Arial" w:cs="Arial" w:eastAsia="Arial" w:hAnsi="Arial"/>
          <w:sz w:val="18"/>
          <w:szCs w:val="18"/>
          <w:color w:val="auto"/>
        </w:rPr>
      </w:pPr>
    </w:p>
    <w:p>
      <w:pPr>
        <w:jc w:val="both"/>
        <w:ind w:right="40" w:firstLine="1304"/>
        <w:spacing w:after="0" w:line="259" w:lineRule="auto"/>
        <w:tabs>
          <w:tab w:leader="none" w:pos="15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6" w:lineRule="exact"/>
        <w:rPr>
          <w:rFonts w:ascii="Arial" w:cs="Arial" w:eastAsia="Arial" w:hAnsi="Arial"/>
          <w:sz w:val="18"/>
          <w:szCs w:val="18"/>
          <w:color w:val="auto"/>
        </w:rPr>
      </w:pPr>
    </w:p>
    <w:p>
      <w:pPr>
        <w:ind w:right="740" w:firstLine="1304"/>
        <w:spacing w:after="0" w:line="277" w:lineRule="auto"/>
        <w:tabs>
          <w:tab w:leader="none" w:pos="15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pacing w:after="0" w:line="170" w:lineRule="exact"/>
        <w:rPr>
          <w:rFonts w:ascii="Arial" w:cs="Arial" w:eastAsia="Arial" w:hAnsi="Arial"/>
          <w:sz w:val="18"/>
          <w:szCs w:val="18"/>
          <w:color w:val="auto"/>
        </w:rPr>
      </w:pPr>
    </w:p>
    <w:p>
      <w:pPr>
        <w:ind w:right="80" w:firstLine="1304"/>
        <w:spacing w:after="0" w:line="263" w:lineRule="auto"/>
        <w:tabs>
          <w:tab w:leader="none" w:pos="15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5" w:name="page146"/>
    <w:bookmarkEnd w:id="145"/>
    <w:p>
      <w:pPr>
        <w:ind w:right="640" w:firstLine="1304"/>
        <w:spacing w:after="0" w:line="342" w:lineRule="auto"/>
        <w:tabs>
          <w:tab w:leader="none" w:pos="164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23" w:lineRule="exact"/>
        <w:rPr>
          <w:rFonts w:ascii="Arial" w:cs="Arial" w:eastAsia="Arial" w:hAnsi="Arial"/>
          <w:sz w:val="16"/>
          <w:szCs w:val="16"/>
          <w:color w:val="auto"/>
        </w:rPr>
      </w:pPr>
    </w:p>
    <w:p>
      <w:pPr>
        <w:ind w:right="100" w:firstLine="1304"/>
        <w:spacing w:after="0" w:line="263" w:lineRule="auto"/>
        <w:tabs>
          <w:tab w:leader="none" w:pos="163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83" w:lineRule="exact"/>
        <w:rPr>
          <w:rFonts w:ascii="Arial" w:cs="Arial" w:eastAsia="Arial" w:hAnsi="Arial"/>
          <w:sz w:val="18"/>
          <w:szCs w:val="18"/>
          <w:color w:val="auto"/>
        </w:rPr>
      </w:pPr>
    </w:p>
    <w:p>
      <w:pPr>
        <w:ind w:right="120" w:firstLine="1304"/>
        <w:spacing w:after="0" w:line="263" w:lineRule="auto"/>
        <w:tabs>
          <w:tab w:leader="none" w:pos="164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83" w:lineRule="exact"/>
        <w:rPr>
          <w:rFonts w:ascii="Arial" w:cs="Arial" w:eastAsia="Arial" w:hAnsi="Arial"/>
          <w:sz w:val="18"/>
          <w:szCs w:val="18"/>
          <w:color w:val="auto"/>
        </w:rPr>
      </w:pPr>
    </w:p>
    <w:p>
      <w:pPr>
        <w:ind w:right="60" w:firstLine="1304"/>
        <w:spacing w:after="0" w:line="279" w:lineRule="auto"/>
        <w:tabs>
          <w:tab w:leader="none" w:pos="164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71" w:lineRule="exact"/>
        <w:rPr>
          <w:rFonts w:ascii="Arial" w:cs="Arial" w:eastAsia="Arial" w:hAnsi="Arial"/>
          <w:sz w:val="17"/>
          <w:szCs w:val="17"/>
          <w:color w:val="auto"/>
        </w:rPr>
      </w:pPr>
    </w:p>
    <w:p>
      <w:pPr>
        <w:ind w:right="20" w:firstLine="1304"/>
        <w:spacing w:after="0" w:line="293" w:lineRule="auto"/>
        <w:tabs>
          <w:tab w:leader="none" w:pos="164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64" w:lineRule="exact"/>
        <w:rPr>
          <w:rFonts w:ascii="Arial" w:cs="Arial" w:eastAsia="Arial" w:hAnsi="Arial"/>
          <w:sz w:val="16"/>
          <w:szCs w:val="16"/>
          <w:color w:val="auto"/>
        </w:rPr>
      </w:pPr>
    </w:p>
    <w:p>
      <w:pPr>
        <w:ind w:left="1640" w:hanging="336"/>
        <w:spacing w:after="0"/>
        <w:tabs>
          <w:tab w:leader="none" w:pos="1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w:t>
      </w:r>
    </w:p>
    <w:p>
      <w:pPr>
        <w:spacing w:after="0" w:line="210" w:lineRule="exact"/>
        <w:rPr>
          <w:rFonts w:ascii="Arial" w:cs="Arial" w:eastAsia="Arial" w:hAnsi="Arial"/>
          <w:sz w:val="16"/>
          <w:szCs w:val="16"/>
          <w:color w:val="auto"/>
        </w:rPr>
      </w:pPr>
    </w:p>
    <w:p>
      <w:pPr>
        <w:ind w:firstLine="1304"/>
        <w:spacing w:after="0" w:line="308" w:lineRule="auto"/>
        <w:tabs>
          <w:tab w:leader="none" w:pos="164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46" w:lineRule="exact"/>
        <w:rPr>
          <w:rFonts w:ascii="Arial" w:cs="Arial" w:eastAsia="Arial" w:hAnsi="Arial"/>
          <w:sz w:val="17"/>
          <w:szCs w:val="17"/>
          <w:color w:val="auto"/>
        </w:rPr>
      </w:pPr>
    </w:p>
    <w:p>
      <w:pPr>
        <w:ind w:right="440" w:firstLine="1304"/>
        <w:spacing w:after="0" w:line="342" w:lineRule="auto"/>
        <w:tabs>
          <w:tab w:leader="none" w:pos="164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23" w:lineRule="exact"/>
        <w:rPr>
          <w:rFonts w:ascii="Arial" w:cs="Arial" w:eastAsia="Arial" w:hAnsi="Arial"/>
          <w:sz w:val="16"/>
          <w:szCs w:val="16"/>
          <w:color w:val="auto"/>
        </w:rPr>
      </w:pPr>
    </w:p>
    <w:p>
      <w:pPr>
        <w:ind w:right="20" w:firstLine="1304"/>
        <w:spacing w:after="0" w:line="271" w:lineRule="auto"/>
        <w:tabs>
          <w:tab w:leader="none" w:pos="164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6" w:name="page147"/>
    <w:bookmarkEnd w:id="146"/>
    <w:p>
      <w:pPr>
        <w:ind w:right="240" w:firstLine="1304"/>
        <w:spacing w:after="0" w:line="277" w:lineRule="auto"/>
        <w:tabs>
          <w:tab w:leader="none" w:pos="16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0" w:lineRule="exact"/>
        <w:rPr>
          <w:rFonts w:ascii="Arial" w:cs="Arial" w:eastAsia="Arial" w:hAnsi="Arial"/>
          <w:sz w:val="18"/>
          <w:szCs w:val="18"/>
          <w:color w:val="auto"/>
        </w:rPr>
      </w:pPr>
    </w:p>
    <w:p>
      <w:pPr>
        <w:ind w:right="200" w:firstLine="1304"/>
        <w:spacing w:after="0" w:line="254" w:lineRule="auto"/>
        <w:tabs>
          <w:tab w:leader="none" w:pos="16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provided, however, in each case, that the manner of determining such Person or making such payment shall be acceptable to the Trustee (as not imposing on it any undue administrative burden or risk of liability);</w:t>
      </w:r>
    </w:p>
    <w:p>
      <w:pPr>
        <w:spacing w:after="0" w:line="194" w:lineRule="exact"/>
        <w:rPr>
          <w:rFonts w:ascii="Arial" w:cs="Arial" w:eastAsia="Arial" w:hAnsi="Arial"/>
          <w:sz w:val="18"/>
          <w:szCs w:val="18"/>
          <w:color w:val="auto"/>
        </w:rPr>
      </w:pPr>
    </w:p>
    <w:p>
      <w:pPr>
        <w:ind w:left="1640" w:hanging="336"/>
        <w:spacing w:after="0"/>
        <w:tabs>
          <w:tab w:leader="none" w:pos="1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of Article Fourteen hereof to the Securities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210" w:lineRule="exact"/>
        <w:rPr>
          <w:rFonts w:ascii="Arial" w:cs="Arial" w:eastAsia="Arial" w:hAnsi="Arial"/>
          <w:sz w:val="16"/>
          <w:szCs w:val="16"/>
          <w:color w:val="auto"/>
        </w:rPr>
      </w:pPr>
    </w:p>
    <w:p>
      <w:pPr>
        <w:ind w:right="120" w:firstLine="1304"/>
        <w:spacing w:after="0" w:line="259" w:lineRule="auto"/>
        <w:tabs>
          <w:tab w:leader="none" w:pos="16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86" w:lineRule="exact"/>
        <w:rPr>
          <w:rFonts w:ascii="Arial" w:cs="Arial" w:eastAsia="Arial" w:hAnsi="Arial"/>
          <w:sz w:val="18"/>
          <w:szCs w:val="18"/>
          <w:color w:val="auto"/>
        </w:rPr>
      </w:pPr>
    </w:p>
    <w:p>
      <w:pPr>
        <w:ind w:right="180" w:firstLine="1304"/>
        <w:spacing w:after="0" w:line="263" w:lineRule="auto"/>
        <w:tabs>
          <w:tab w:leader="none" w:pos="16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83" w:lineRule="exact"/>
        <w:rPr>
          <w:rFonts w:ascii="Arial" w:cs="Arial" w:eastAsia="Arial" w:hAnsi="Arial"/>
          <w:sz w:val="18"/>
          <w:szCs w:val="18"/>
          <w:color w:val="auto"/>
        </w:rPr>
      </w:pPr>
    </w:p>
    <w:p>
      <w:pPr>
        <w:ind w:right="140" w:firstLine="1304"/>
        <w:spacing w:after="0" w:line="342" w:lineRule="auto"/>
        <w:tabs>
          <w:tab w:leader="none" w:pos="164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23" w:lineRule="exact"/>
        <w:rPr>
          <w:rFonts w:ascii="Arial" w:cs="Arial" w:eastAsia="Arial" w:hAnsi="Arial"/>
          <w:sz w:val="16"/>
          <w:szCs w:val="16"/>
          <w:color w:val="auto"/>
        </w:rPr>
      </w:pPr>
    </w:p>
    <w:p>
      <w:pPr>
        <w:ind w:left="1640" w:hanging="336"/>
        <w:spacing w:after="0"/>
        <w:tabs>
          <w:tab w:leader="none" w:pos="1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7" w:name="page148"/>
    <w:bookmarkEnd w:id="147"/>
    <w:p>
      <w:pPr>
        <w:ind w:right="20" w:firstLine="648"/>
        <w:spacing w:after="0" w:line="30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Denominations.</w:t>
      </w:r>
      <w:r>
        <w:rPr>
          <w:rFonts w:ascii="Arial" w:cs="Arial" w:eastAsia="Arial" w:hAnsi="Arial"/>
          <w:sz w:val="16"/>
          <w:szCs w:val="16"/>
          <w:color w:val="auto"/>
        </w:rPr>
        <w:t xml:space="preserve">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5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provided, however, that, in connection with its original issuance, no Bearer Security shall be mailed or otherwise delivered to any location in the United States; and provided further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Exhibit B-1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71"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 (i) an Opinion of Counsel stating that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left="1540" w:hanging="236"/>
        <w:spacing w:after="0"/>
        <w:tabs>
          <w:tab w:leader="none" w:pos="1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form or forms of such Securities and any coupons have been established in conformity with the provisions of this Indenture;</w:t>
      </w:r>
    </w:p>
    <w:p>
      <w:pPr>
        <w:spacing w:after="0" w:line="236" w:lineRule="exact"/>
        <w:rPr>
          <w:rFonts w:ascii="Arial" w:cs="Arial" w:eastAsia="Arial" w:hAnsi="Arial"/>
          <w:sz w:val="17"/>
          <w:szCs w:val="17"/>
          <w:color w:val="auto"/>
        </w:rPr>
      </w:pPr>
    </w:p>
    <w:p>
      <w:pPr>
        <w:ind w:left="1560" w:hanging="256"/>
        <w:spacing w:after="0"/>
        <w:tabs>
          <w:tab w:leader="none" w:pos="15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terms of such Securities and any coupons have been established in conformity with the provisions of this Indenture; and</w:t>
      </w:r>
    </w:p>
    <w:p>
      <w:pPr>
        <w:spacing w:after="0" w:line="236" w:lineRule="exact"/>
        <w:rPr>
          <w:rFonts w:ascii="Arial" w:cs="Arial" w:eastAsia="Arial" w:hAnsi="Arial"/>
          <w:sz w:val="17"/>
          <w:szCs w:val="17"/>
          <w:color w:val="auto"/>
        </w:rPr>
      </w:pPr>
    </w:p>
    <w:p>
      <w:pPr>
        <w:ind w:firstLine="1304"/>
        <w:spacing w:after="0" w:line="255" w:lineRule="auto"/>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92" w:lineRule="exact"/>
        <w:rPr>
          <w:sz w:val="20"/>
          <w:szCs w:val="20"/>
          <w:color w:val="auto"/>
        </w:rPr>
      </w:pPr>
    </w:p>
    <w:p>
      <w:pPr>
        <w:ind w:right="320" w:firstLine="1304"/>
        <w:spacing w:after="0" w:line="263" w:lineRule="auto"/>
        <w:tabs>
          <w:tab w:leader="none" w:pos="156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left="6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20" w:firstLine="1304"/>
        <w:spacing w:after="0" w:line="255" w:lineRule="auto"/>
        <w:tabs>
          <w:tab w:leader="none" w:pos="1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9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definitive Bearer Security shall be delivered in exchange for a temporary Registered Security;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definitive Bearer Security shall be delivered in exchange for a temporary Bearer Security only in compliance with the conditions set forth in Section 305. Until so exchanged, the temporary Securities of any series shall in all respects be entitled to the same benefits under this Indenture as definitive Securities of such series.</w:t>
      </w:r>
    </w:p>
    <w:p>
      <w:pPr>
        <w:spacing w:after="0" w:line="172" w:lineRule="exact"/>
        <w:rPr>
          <w:sz w:val="20"/>
          <w:szCs w:val="20"/>
          <w:color w:val="auto"/>
        </w:rPr>
      </w:pPr>
    </w:p>
    <w:p>
      <w:pPr>
        <w:ind w:right="340" w:firstLine="1304"/>
        <w:spacing w:after="0" w:line="296" w:lineRule="auto"/>
        <w:tabs>
          <w:tab w:leader="none" w:pos="155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provided, however,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B-2 to this Indenture or in such other form as may be established pursuant to Section 301; and provided further that definitive Bearer Securities shall be delivered in exchange for a portion of a temporary Global Security only in compliance with the requirements of Section 303.</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ind w:right="20"/>
        <w:spacing w:after="0" w:line="269" w:lineRule="auto"/>
        <w:rPr>
          <w:sz w:val="20"/>
          <w:szCs w:val="20"/>
          <w:color w:val="auto"/>
        </w:rPr>
      </w:pPr>
      <w:r>
        <w:rPr>
          <w:rFonts w:ascii="Arial" w:cs="Arial" w:eastAsia="Arial" w:hAnsi="Arial"/>
          <w:sz w:val="17"/>
          <w:szCs w:val="17"/>
          <w:color w:val="auto"/>
        </w:rPr>
        <w:t>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B-1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8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Exhibit B-2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Exhibit B-1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9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provided that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right="60" w:firstLine="648"/>
        <w:spacing w:after="0" w:line="290"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Registration, Registration of Transfer, Conversion and Exchange</w:t>
      </w:r>
      <w:r>
        <w:rPr>
          <w:rFonts w:ascii="Arial" w:cs="Arial" w:eastAsia="Arial" w:hAnsi="Arial"/>
          <w:sz w:val="16"/>
          <w:szCs w:val="16"/>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spacing w:after="0" w:line="283"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provided, however,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provided further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spacing w:after="0" w:line="342" w:lineRule="auto"/>
        <w:rPr>
          <w:sz w:val="20"/>
          <w:szCs w:val="20"/>
          <w:color w:val="auto"/>
        </w:rPr>
      </w:pPr>
      <w:r>
        <w:rPr>
          <w:rFonts w:ascii="Arial" w:cs="Arial" w:eastAsia="Arial" w:hAnsi="Arial"/>
          <w:sz w:val="16"/>
          <w:szCs w:val="16"/>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2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4"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1305 or 1704 not involving any transfer.</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provided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Stolen Securities</w:t>
      </w:r>
      <w:r>
        <w:rPr>
          <w:rFonts w:ascii="Arial" w:cs="Arial" w:eastAsia="Arial" w:hAnsi="Arial"/>
          <w:sz w:val="17"/>
          <w:szCs w:val="17"/>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t>If there shall be delivered to the Company and to the Trustee (i) evidence to their satisfaction of the destruction, loss or theft of any Security or coupon, and</w:t>
      </w:r>
    </w:p>
    <w:p>
      <w:pPr>
        <w:spacing w:after="0" w:line="46" w:lineRule="exact"/>
        <w:rPr>
          <w:sz w:val="20"/>
          <w:szCs w:val="20"/>
          <w:color w:val="auto"/>
        </w:rPr>
      </w:pPr>
    </w:p>
    <w:p>
      <w:pPr>
        <w:ind w:right="100" w:firstLine="8"/>
        <w:spacing w:after="0" w:line="290" w:lineRule="auto"/>
        <w:tabs>
          <w:tab w:leader="none" w:pos="26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provided, however,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Payment of Interest; Interest Rights Preserved</w:t>
      </w:r>
      <w:r>
        <w:rPr>
          <w:rFonts w:ascii="Arial" w:cs="Arial" w:eastAsia="Arial" w:hAnsi="Arial"/>
          <w:sz w:val="17"/>
          <w:szCs w:val="17"/>
          <w:color w:val="auto"/>
        </w:rPr>
        <w:t>.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provided, however,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5" w:name="page156"/>
    <w:bookmarkEnd w:id="155"/>
    <w:p>
      <w:pPr>
        <w:ind w:right="220"/>
        <w:spacing w:after="0" w:line="277"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7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71" w:lineRule="exact"/>
        <w:rPr>
          <w:sz w:val="20"/>
          <w:szCs w:val="20"/>
          <w:color w:val="auto"/>
        </w:rPr>
      </w:pPr>
    </w:p>
    <w:p>
      <w:pPr>
        <w:ind w:firstLine="1304"/>
        <w:spacing w:after="0" w:line="284" w:lineRule="auto"/>
        <w:tabs>
          <w:tab w:leader="none" w:pos="155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6" w:name="page157"/>
    <w:bookmarkEnd w:id="156"/>
    <w:p>
      <w:pPr>
        <w:jc w:val="both"/>
        <w:ind w:right="60" w:firstLine="1304"/>
        <w:spacing w:after="0" w:line="259" w:lineRule="auto"/>
        <w:tabs>
          <w:tab w:leader="none" w:pos="155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7" w:name="page158"/>
    <w:bookmarkEnd w:id="157"/>
    <w:p>
      <w:pPr>
        <w:ind w:right="80" w:firstLine="648"/>
        <w:spacing w:after="0" w:line="287"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Cancellation</w:t>
      </w:r>
      <w:r>
        <w:rPr>
          <w:rFonts w:ascii="Arial" w:cs="Arial" w:eastAsia="Arial" w:hAnsi="Arial"/>
          <w:sz w:val="16"/>
          <w:szCs w:val="16"/>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7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Computation of Interest</w:t>
      </w:r>
      <w:r>
        <w:rPr>
          <w:rFonts w:ascii="Arial" w:cs="Arial" w:eastAsia="Arial" w:hAnsi="Arial"/>
          <w:sz w:val="17"/>
          <w:szCs w:val="17"/>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4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The Company in issuing the Securities may use “CUSIP” numbers (if then generally in use), and, if so, the Trustee shall use “CUSIP” numbers in notices of redemption as a convenience to Holders; provided, however,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 (1) either (A) all Securities of such series theretofore authenticated and delivered and all coupons, if any, appertaining thereto (other than</w:t>
      </w:r>
    </w:p>
    <w:p>
      <w:pPr>
        <w:spacing w:after="0" w:line="2" w:lineRule="exact"/>
        <w:rPr>
          <w:sz w:val="20"/>
          <w:szCs w:val="20"/>
          <w:color w:val="auto"/>
        </w:rPr>
      </w:pPr>
    </w:p>
    <w:p>
      <w:pPr>
        <w:ind w:firstLine="8"/>
        <w:spacing w:after="0" w:line="269" w:lineRule="auto"/>
        <w:tabs>
          <w:tab w:leader="none" w:pos="21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 (B) all Securities of such series and, in the case of (i) or (ii) below, any coupons appertaining thereto not theretofore delivered to the Trustee for cancellation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ind w:left="1520" w:hanging="216"/>
        <w:spacing w:after="0"/>
        <w:tabs>
          <w:tab w:leader="none" w:pos="15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jc w:val="both"/>
        <w:ind w:right="160" w:firstLine="1304"/>
        <w:spacing w:after="0" w:line="291" w:lineRule="auto"/>
        <w:tabs>
          <w:tab w:leader="none" w:pos="1611"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if redeemable at the option of the Company, are to be called for redemption within one year under arrangements satisfactory to the Trustee for the giving of notice of redemption by the Trustee in the name, and at the expense, of the Company, and the Company, in the case of (i), (ii) or</w:t>
      </w:r>
    </w:p>
    <w:p>
      <w:pPr>
        <w:ind w:right="20" w:firstLine="8"/>
        <w:spacing w:after="0" w:line="253" w:lineRule="auto"/>
        <w:tabs>
          <w:tab w:leader="none" w:pos="3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91" w:lineRule="exact"/>
        <w:rPr>
          <w:sz w:val="20"/>
          <w:szCs w:val="20"/>
          <w:color w:val="auto"/>
        </w:rPr>
      </w:pPr>
    </w:p>
    <w:p>
      <w:pPr>
        <w:ind w:left="1560" w:hanging="256"/>
        <w:spacing w:after="0"/>
        <w:tabs>
          <w:tab w:leader="none" w:pos="15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660" w:firstLine="1304"/>
        <w:spacing w:after="0" w:line="342" w:lineRule="auto"/>
        <w:tabs>
          <w:tab w:leader="none" w:pos="155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7"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Application of Trust Funds</w:t>
      </w:r>
      <w:r>
        <w:rPr>
          <w:rFonts w:ascii="Arial" w:cs="Arial" w:eastAsia="Arial" w:hAnsi="Arial"/>
          <w:sz w:val="16"/>
          <w:szCs w:val="16"/>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5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Events of Default</w:t>
      </w:r>
      <w:r>
        <w:rPr>
          <w:rFonts w:ascii="Arial" w:cs="Arial" w:eastAsia="Arial" w:hAnsi="Arial"/>
          <w:sz w:val="16"/>
          <w:szCs w:val="16"/>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49" w:lineRule="exact"/>
        <w:rPr>
          <w:sz w:val="20"/>
          <w:szCs w:val="20"/>
          <w:color w:val="auto"/>
        </w:rPr>
      </w:pPr>
    </w:p>
    <w:p>
      <w:pPr>
        <w:ind w:right="420" w:firstLine="1304"/>
        <w:spacing w:after="0" w:line="277" w:lineRule="auto"/>
        <w:tabs>
          <w:tab w:leader="none" w:pos="155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59" w:name="page160"/>
    <w:bookmarkEnd w:id="159"/>
    <w:p>
      <w:pPr>
        <w:ind w:left="-1120" w:right="620" w:firstLine="1304"/>
        <w:spacing w:after="0" w:line="277" w:lineRule="auto"/>
        <w:tabs>
          <w:tab w:leader="none" w:pos="4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170" w:lineRule="exact"/>
        <w:rPr>
          <w:rFonts w:ascii="Arial" w:cs="Arial" w:eastAsia="Arial" w:hAnsi="Arial"/>
          <w:sz w:val="18"/>
          <w:szCs w:val="18"/>
          <w:color w:val="auto"/>
        </w:rPr>
      </w:pPr>
    </w:p>
    <w:p>
      <w:pPr>
        <w:ind w:left="-1120" w:right="80" w:firstLine="1304"/>
        <w:spacing w:after="0" w:line="277" w:lineRule="auto"/>
        <w:tabs>
          <w:tab w:leader="none" w:pos="4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to the extent applicable to such series of Securities, when and as due by the terms of any Security of that series; or</w:t>
      </w:r>
    </w:p>
    <w:p>
      <w:pPr>
        <w:spacing w:after="0" w:line="170" w:lineRule="exact"/>
        <w:rPr>
          <w:rFonts w:ascii="Arial" w:cs="Arial" w:eastAsia="Arial" w:hAnsi="Arial"/>
          <w:sz w:val="18"/>
          <w:szCs w:val="18"/>
          <w:color w:val="auto"/>
        </w:rPr>
      </w:pPr>
    </w:p>
    <w:p>
      <w:pPr>
        <w:ind w:left="-1120" w:right="20" w:firstLine="1304"/>
        <w:spacing w:after="0" w:line="273" w:lineRule="auto"/>
        <w:tabs>
          <w:tab w:leader="none" w:pos="43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7" w:lineRule="exact"/>
        <w:rPr>
          <w:rFonts w:ascii="Arial" w:cs="Arial" w:eastAsia="Arial" w:hAnsi="Arial"/>
          <w:sz w:val="17"/>
          <w:szCs w:val="17"/>
          <w:color w:val="auto"/>
        </w:rPr>
      </w:pPr>
    </w:p>
    <w:p>
      <w:pPr>
        <w:ind w:left="-1120" w:firstLine="1304"/>
        <w:spacing w:after="0" w:line="269" w:lineRule="auto"/>
        <w:tabs>
          <w:tab w:leader="none" w:pos="43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provided, however,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78" w:lineRule="exact"/>
        <w:rPr>
          <w:rFonts w:ascii="Arial" w:cs="Arial" w:eastAsia="Arial" w:hAnsi="Arial"/>
          <w:sz w:val="17"/>
          <w:szCs w:val="17"/>
          <w:color w:val="auto"/>
        </w:rPr>
      </w:pPr>
    </w:p>
    <w:p>
      <w:pPr>
        <w:ind w:left="440" w:hanging="256"/>
        <w:spacing w:after="0"/>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225" w:lineRule="exact"/>
        <w:rPr>
          <w:rFonts w:ascii="Arial" w:cs="Arial" w:eastAsia="Arial" w:hAnsi="Arial"/>
          <w:sz w:val="18"/>
          <w:szCs w:val="18"/>
          <w:color w:val="auto"/>
        </w:rPr>
      </w:pPr>
    </w:p>
    <w:p>
      <w:pPr>
        <w:ind w:left="1120" w:hanging="288"/>
        <w:spacing w:after="0"/>
        <w:tabs>
          <w:tab w:leader="none" w:pos="11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1120" w:hanging="288"/>
        <w:spacing w:after="0"/>
        <w:tabs>
          <w:tab w:leader="none" w:pos="11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120" w:hanging="288"/>
        <w:spacing w:after="0"/>
        <w:tabs>
          <w:tab w:leader="none" w:pos="11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225" w:lineRule="exact"/>
        <w:rPr>
          <w:rFonts w:ascii="Arial" w:cs="Arial" w:eastAsia="Arial" w:hAnsi="Arial"/>
          <w:sz w:val="18"/>
          <w:szCs w:val="18"/>
          <w:color w:val="auto"/>
        </w:rPr>
      </w:pPr>
    </w:p>
    <w:p>
      <w:pPr>
        <w:ind w:left="1120" w:hanging="288"/>
        <w:spacing w:after="0"/>
        <w:tabs>
          <w:tab w:leader="none" w:pos="11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440" w:hanging="256"/>
        <w:spacing w:after="0"/>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sz w:val="20"/>
          <w:szCs w:val="20"/>
          <w:color w:val="auto"/>
        </w:rPr>
      </w:pPr>
    </w:p>
    <w:p>
      <w:pPr>
        <w:ind w:left="4420" w:right="3440" w:hanging="4236"/>
        <w:spacing w:after="0" w:line="778" w:lineRule="auto"/>
        <w:tabs>
          <w:tab w:leader="none" w:pos="4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60" w:name="page161"/>
    <w:bookmarkEnd w:id="160"/>
    <w:p>
      <w:pPr>
        <w:ind w:left="1580" w:hanging="276"/>
        <w:spacing w:after="0"/>
        <w:tabs>
          <w:tab w:leader="none" w:pos="1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225" w:lineRule="exact"/>
        <w:rPr>
          <w:rFonts w:ascii="Arial" w:cs="Arial" w:eastAsia="Arial" w:hAnsi="Arial"/>
          <w:sz w:val="18"/>
          <w:szCs w:val="18"/>
          <w:color w:val="auto"/>
        </w:rPr>
      </w:pPr>
    </w:p>
    <w:p>
      <w:pPr>
        <w:ind w:left="1300" w:right="280" w:firstLine="4"/>
        <w:spacing w:after="0" w:line="277" w:lineRule="auto"/>
        <w:tabs>
          <w:tab w:leader="none" w:pos="15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 any other Event of Default provided with respect to Securities of that series.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49" w:lineRule="exact"/>
        <w:rPr>
          <w:sz w:val="20"/>
          <w:szCs w:val="20"/>
          <w:color w:val="auto"/>
        </w:rPr>
      </w:pPr>
    </w:p>
    <w:p>
      <w:pPr>
        <w:ind w:right="240" w:firstLine="1304"/>
        <w:spacing w:after="0" w:line="342" w:lineRule="auto"/>
        <w:tabs>
          <w:tab w:leader="none" w:pos="155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23" w:lineRule="exact"/>
        <w:rPr>
          <w:rFonts w:ascii="Arial" w:cs="Arial" w:eastAsia="Arial" w:hAnsi="Arial"/>
          <w:sz w:val="16"/>
          <w:szCs w:val="16"/>
          <w:color w:val="auto"/>
        </w:rPr>
      </w:pPr>
    </w:p>
    <w:p>
      <w:pPr>
        <w:ind w:left="2240" w:hanging="288"/>
        <w:spacing w:after="0"/>
        <w:tabs>
          <w:tab w:leader="none" w:pos="2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w:t>
      </w:r>
    </w:p>
    <w:p>
      <w:pPr>
        <w:spacing w:after="0" w:line="225" w:lineRule="exact"/>
        <w:rPr>
          <w:rFonts w:ascii="Arial" w:cs="Arial" w:eastAsia="Arial" w:hAnsi="Arial"/>
          <w:sz w:val="18"/>
          <w:szCs w:val="18"/>
          <w:color w:val="auto"/>
        </w:rPr>
      </w:pPr>
    </w:p>
    <w:p>
      <w:pPr>
        <w:ind w:left="1960" w:right="140" w:hanging="8"/>
        <w:spacing w:after="0" w:line="263" w:lineRule="auto"/>
        <w:tabs>
          <w:tab w:leader="none" w:pos="224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83" w:lineRule="exact"/>
        <w:rPr>
          <w:rFonts w:ascii="Arial" w:cs="Arial" w:eastAsia="Arial" w:hAnsi="Arial"/>
          <w:sz w:val="18"/>
          <w:szCs w:val="18"/>
          <w:color w:val="auto"/>
        </w:rPr>
      </w:pPr>
    </w:p>
    <w:p>
      <w:pPr>
        <w:ind w:left="1960" w:right="180" w:hanging="8"/>
        <w:spacing w:after="0" w:line="277" w:lineRule="auto"/>
        <w:tabs>
          <w:tab w:leader="none" w:pos="224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170" w:lineRule="exact"/>
        <w:rPr>
          <w:rFonts w:ascii="Arial" w:cs="Arial" w:eastAsia="Arial" w:hAnsi="Arial"/>
          <w:sz w:val="18"/>
          <w:szCs w:val="18"/>
          <w:color w:val="auto"/>
        </w:rPr>
      </w:pPr>
    </w:p>
    <w:p>
      <w:pPr>
        <w:ind w:left="1960" w:right="680" w:hanging="8"/>
        <w:spacing w:after="0" w:line="277" w:lineRule="auto"/>
        <w:tabs>
          <w:tab w:leader="none" w:pos="225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firstLine="1304"/>
        <w:spacing w:after="0" w:line="263" w:lineRule="auto"/>
        <w:tabs>
          <w:tab w:leader="none" w:pos="155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225" w:lineRule="exact"/>
        <w:rPr>
          <w:sz w:val="20"/>
          <w:szCs w:val="20"/>
          <w:color w:val="auto"/>
        </w:rPr>
      </w:pPr>
    </w:p>
    <w:p>
      <w:pPr>
        <w:ind w:right="100" w:firstLine="1304"/>
        <w:spacing w:after="0" w:line="277" w:lineRule="auto"/>
        <w:tabs>
          <w:tab w:leader="none" w:pos="155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right="60" w:firstLine="1304"/>
        <w:spacing w:after="0" w:line="254" w:lineRule="auto"/>
        <w:tabs>
          <w:tab w:leader="none" w:pos="155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or Make-Whole Amount, if any, on) any Security of any series at its Maturity, 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92" w:lineRule="exact"/>
        <w:rPr>
          <w:sz w:val="20"/>
          <w:szCs w:val="20"/>
          <w:color w:val="auto"/>
        </w:rPr>
      </w:pPr>
    </w:p>
    <w:p>
      <w:pPr>
        <w:ind w:right="320" w:firstLine="1304"/>
        <w:spacing w:after="0" w:line="279" w:lineRule="auto"/>
        <w:tabs>
          <w:tab w:leader="none" w:pos="151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71" w:lineRule="exact"/>
        <w:rPr>
          <w:rFonts w:ascii="Arial" w:cs="Arial" w:eastAsia="Arial" w:hAnsi="Arial"/>
          <w:sz w:val="17"/>
          <w:szCs w:val="17"/>
          <w:color w:val="auto"/>
        </w:rPr>
      </w:pPr>
    </w:p>
    <w:p>
      <w:pPr>
        <w:ind w:left="1560" w:hanging="256"/>
        <w:spacing w:after="0"/>
        <w:tabs>
          <w:tab w:leader="none" w:pos="15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2" w:name="page163"/>
    <w:bookmarkEnd w:id="162"/>
    <w:p>
      <w:pPr>
        <w:jc w:val="both"/>
        <w:spacing w:after="0" w:line="301"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5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6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Securities or Coupons</w:t>
      </w:r>
      <w:r>
        <w:rPr>
          <w:rFonts w:ascii="Arial" w:cs="Arial" w:eastAsia="Arial" w:hAnsi="Arial"/>
          <w:sz w:val="18"/>
          <w:szCs w:val="18"/>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ind w:left="1300" w:right="40"/>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To the payment of the remainder, if any, to the Company.</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Limitation on Suits</w:t>
      </w:r>
      <w:r>
        <w:rPr>
          <w:rFonts w:ascii="Arial" w:cs="Arial" w:eastAsia="Arial" w:hAnsi="Arial"/>
          <w:sz w:val="16"/>
          <w:szCs w:val="16"/>
          <w:color w:val="auto"/>
        </w:rPr>
        <w:t>. 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such Holder has previously given written notice to the Trustee of a continuing Event of Default with respect to the Securities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3" w:name="page164"/>
    <w:bookmarkEnd w:id="163"/>
    <w:p>
      <w:pPr>
        <w:ind w:firstLine="1304"/>
        <w:spacing w:after="0" w:line="277" w:lineRule="auto"/>
        <w:tabs>
          <w:tab w:leader="none" w:pos="155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260" w:firstLine="1304"/>
        <w:spacing w:after="0" w:line="277" w:lineRule="auto"/>
        <w:tabs>
          <w:tab w:leader="none" w:pos="155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right="540" w:firstLine="1304"/>
        <w:spacing w:after="0" w:line="277" w:lineRule="auto"/>
        <w:tabs>
          <w:tab w:leader="none" w:pos="155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Unconditional Right of Holders to Receive Principal, Premium or Make-Whole Amount, if any, and Interest</w:t>
      </w:r>
      <w:r>
        <w:rPr>
          <w:rFonts w:ascii="Arial" w:cs="Arial" w:eastAsia="Arial" w:hAnsi="Arial"/>
          <w:sz w:val="17"/>
          <w:szCs w:val="17"/>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7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Restoration of Rights and Remedies</w:t>
      </w:r>
      <w:r>
        <w:rPr>
          <w:rFonts w:ascii="Arial" w:cs="Arial" w:eastAsia="Arial" w:hAnsi="Arial"/>
          <w:sz w:val="17"/>
          <w:szCs w:val="17"/>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92"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right="80" w:firstLine="648"/>
        <w:spacing w:after="0" w:line="263"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1560" w:hanging="256"/>
        <w:spacing w:after="0"/>
        <w:tabs>
          <w:tab w:leader="none" w:pos="15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right="180" w:firstLine="1304"/>
        <w:spacing w:after="0" w:line="277" w:lineRule="auto"/>
        <w:tabs>
          <w:tab w:leader="none" w:pos="15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by Holders.</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84" w:lineRule="exact"/>
        <w:rPr>
          <w:sz w:val="20"/>
          <w:szCs w:val="20"/>
          <w:color w:val="auto"/>
        </w:rPr>
      </w:pPr>
    </w:p>
    <w:p>
      <w:pPr>
        <w:ind w:left="1560" w:hanging="256"/>
        <w:spacing w:after="0"/>
        <w:tabs>
          <w:tab w:leader="none" w:pos="1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the payment of the principal of (or premium or Make-Whole Amount, if any) or interest on any Security of such series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related coupons, or</w:t>
      </w:r>
    </w:p>
    <w:p>
      <w:pPr>
        <w:spacing w:after="0" w:line="210" w:lineRule="exact"/>
        <w:rPr>
          <w:rFonts w:ascii="Arial" w:cs="Arial" w:eastAsia="Arial" w:hAnsi="Arial"/>
          <w:sz w:val="17"/>
          <w:szCs w:val="17"/>
          <w:color w:val="auto"/>
        </w:rPr>
      </w:pPr>
    </w:p>
    <w:p>
      <w:pPr>
        <w:ind w:right="440" w:firstLine="1304"/>
        <w:spacing w:after="0" w:line="277" w:lineRule="auto"/>
        <w:tabs>
          <w:tab w:leader="none" w:pos="15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respect of a covenant or provision hereof for the benefit or protection of the Trustee, without its express written consent.</w:t>
      </w:r>
    </w:p>
    <w:p>
      <w:pPr>
        <w:spacing w:after="0" w:line="237"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jc w:val="both"/>
        <w:ind w:right="120" w:firstLine="648"/>
        <w:spacing w:after="0" w:line="29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firstLine="648"/>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Notice of Defaults</w:t>
      </w:r>
      <w:r>
        <w:rPr>
          <w:rFonts w:ascii="Arial" w:cs="Arial" w:eastAsia="Arial" w:hAnsi="Arial"/>
          <w:sz w:val="17"/>
          <w:szCs w:val="17"/>
          <w:color w:val="auto"/>
        </w:rPr>
        <w:t>.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provided, however,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provided further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225" w:lineRule="exact"/>
        <w:rPr>
          <w:sz w:val="20"/>
          <w:szCs w:val="20"/>
          <w:color w:val="auto"/>
        </w:rPr>
      </w:pPr>
    </w:p>
    <w:p>
      <w:pPr>
        <w:ind w:right="200" w:firstLine="1304"/>
        <w:spacing w:after="0" w:line="311" w:lineRule="auto"/>
        <w:tabs>
          <w:tab w:leader="none" w:pos="155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48" w:lineRule="exact"/>
        <w:rPr>
          <w:rFonts w:ascii="Arial" w:cs="Arial" w:eastAsia="Arial" w:hAnsi="Arial"/>
          <w:sz w:val="16"/>
          <w:szCs w:val="16"/>
          <w:color w:val="auto"/>
        </w:rPr>
      </w:pPr>
    </w:p>
    <w:p>
      <w:pPr>
        <w:jc w:val="both"/>
        <w:ind w:right="120" w:firstLine="1304"/>
        <w:spacing w:after="0" w:line="259" w:lineRule="auto"/>
        <w:tabs>
          <w:tab w:leader="none" w:pos="155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86" w:lineRule="exact"/>
        <w:rPr>
          <w:rFonts w:ascii="Arial" w:cs="Arial" w:eastAsia="Arial" w:hAnsi="Arial"/>
          <w:sz w:val="18"/>
          <w:szCs w:val="18"/>
          <w:color w:val="auto"/>
        </w:rPr>
      </w:pPr>
    </w:p>
    <w:p>
      <w:pPr>
        <w:ind w:right="120" w:firstLine="1304"/>
        <w:spacing w:after="0" w:line="263" w:lineRule="auto"/>
        <w:tabs>
          <w:tab w:leader="none" w:pos="155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3" w:lineRule="exact"/>
        <w:rPr>
          <w:rFonts w:ascii="Arial" w:cs="Arial" w:eastAsia="Arial" w:hAnsi="Arial"/>
          <w:sz w:val="18"/>
          <w:szCs w:val="18"/>
          <w:color w:val="auto"/>
        </w:rPr>
      </w:pPr>
    </w:p>
    <w:p>
      <w:pPr>
        <w:ind w:right="200" w:firstLine="1304"/>
        <w:spacing w:after="0" w:line="342" w:lineRule="auto"/>
        <w:tabs>
          <w:tab w:leader="none" w:pos="155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20" w:firstLine="1304"/>
        <w:spacing w:after="0" w:line="259" w:lineRule="auto"/>
        <w:tabs>
          <w:tab w:leader="none" w:pos="153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6" w:lineRule="exact"/>
        <w:rPr>
          <w:rFonts w:ascii="Arial" w:cs="Arial" w:eastAsia="Arial" w:hAnsi="Arial"/>
          <w:sz w:val="18"/>
          <w:szCs w:val="18"/>
          <w:color w:val="auto"/>
        </w:rPr>
      </w:pPr>
    </w:p>
    <w:p>
      <w:pPr>
        <w:ind w:left="-20" w:right="40" w:firstLine="1304"/>
        <w:spacing w:after="0" w:line="288" w:lineRule="auto"/>
        <w:tabs>
          <w:tab w:leader="none" w:pos="153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68" w:lineRule="exact"/>
        <w:rPr>
          <w:rFonts w:ascii="Arial" w:cs="Arial" w:eastAsia="Arial" w:hAnsi="Arial"/>
          <w:sz w:val="16"/>
          <w:szCs w:val="16"/>
          <w:color w:val="auto"/>
        </w:rPr>
      </w:pPr>
    </w:p>
    <w:p>
      <w:pPr>
        <w:ind w:left="-20" w:right="80" w:firstLine="1304"/>
        <w:spacing w:after="0" w:line="263" w:lineRule="auto"/>
        <w:tabs>
          <w:tab w:leader="none" w:pos="153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ind w:left="-20" w:right="740" w:firstLine="1304"/>
        <w:spacing w:after="0" w:line="277" w:lineRule="auto"/>
        <w:tabs>
          <w:tab w:leader="none" w:pos="153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20" w:right="300" w:firstLine="1304"/>
        <w:spacing w:after="0" w:line="277" w:lineRule="auto"/>
        <w:tabs>
          <w:tab w:leader="none" w:pos="153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permissive right or power available to the Trustee under this Indenture or any supplement hereto shall not be construed to be a mandatory duty or obligation;</w:t>
      </w:r>
    </w:p>
    <w:p>
      <w:pPr>
        <w:spacing w:after="0" w:line="170" w:lineRule="exact"/>
        <w:rPr>
          <w:rFonts w:ascii="Arial" w:cs="Arial" w:eastAsia="Arial" w:hAnsi="Arial"/>
          <w:sz w:val="18"/>
          <w:szCs w:val="18"/>
          <w:color w:val="auto"/>
        </w:rPr>
      </w:pPr>
    </w:p>
    <w:p>
      <w:pPr>
        <w:ind w:left="-20" w:right="140" w:firstLine="1304"/>
        <w:spacing w:after="0" w:line="263" w:lineRule="auto"/>
        <w:tabs>
          <w:tab w:leader="none" w:pos="162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183" w:lineRule="exact"/>
        <w:rPr>
          <w:rFonts w:ascii="Arial" w:cs="Arial" w:eastAsia="Arial" w:hAnsi="Arial"/>
          <w:sz w:val="18"/>
          <w:szCs w:val="18"/>
          <w:color w:val="auto"/>
        </w:rPr>
      </w:pPr>
    </w:p>
    <w:p>
      <w:pPr>
        <w:ind w:left="-20" w:right="80" w:firstLine="1304"/>
        <w:spacing w:after="0" w:line="277" w:lineRule="auto"/>
        <w:tabs>
          <w:tab w:leader="none" w:pos="161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170" w:lineRule="exact"/>
        <w:rPr>
          <w:rFonts w:ascii="Arial" w:cs="Arial" w:eastAsia="Arial" w:hAnsi="Arial"/>
          <w:sz w:val="18"/>
          <w:szCs w:val="18"/>
          <w:color w:val="auto"/>
        </w:rPr>
      </w:pPr>
    </w:p>
    <w:p>
      <w:pPr>
        <w:ind w:left="-20" w:right="560" w:firstLine="1304"/>
        <w:spacing w:after="0" w:line="263" w:lineRule="auto"/>
        <w:tabs>
          <w:tab w:leader="none" w:pos="162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67" w:name="page168"/>
    <w:bookmarkEnd w:id="167"/>
    <w:p>
      <w:pPr>
        <w:ind w:right="140" w:firstLine="1304"/>
        <w:spacing w:after="0" w:line="311" w:lineRule="auto"/>
        <w:tabs>
          <w:tab w:leader="none" w:pos="164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Not Responsible for Recitals or Issuance of Securities</w:t>
      </w:r>
      <w:r>
        <w:rPr>
          <w:rFonts w:ascii="Arial" w:cs="Arial" w:eastAsia="Arial" w:hAnsi="Arial"/>
          <w:sz w:val="17"/>
          <w:szCs w:val="17"/>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7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225" w:lineRule="exact"/>
        <w:rPr>
          <w:sz w:val="20"/>
          <w:szCs w:val="20"/>
          <w:color w:val="auto"/>
        </w:rPr>
      </w:pPr>
    </w:p>
    <w:p>
      <w:pPr>
        <w:ind w:right="260" w:firstLine="1304"/>
        <w:spacing w:after="0" w:line="308" w:lineRule="auto"/>
        <w:tabs>
          <w:tab w:leader="none" w:pos="155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46" w:lineRule="exact"/>
        <w:rPr>
          <w:rFonts w:ascii="Arial" w:cs="Arial" w:eastAsia="Arial" w:hAnsi="Arial"/>
          <w:sz w:val="17"/>
          <w:szCs w:val="17"/>
          <w:color w:val="auto"/>
        </w:rPr>
      </w:pPr>
    </w:p>
    <w:p>
      <w:pPr>
        <w:ind w:right="60" w:firstLine="1304"/>
        <w:spacing w:after="0" w:line="259" w:lineRule="auto"/>
        <w:tabs>
          <w:tab w:leader="none" w:pos="155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86" w:lineRule="exact"/>
        <w:rPr>
          <w:rFonts w:ascii="Arial" w:cs="Arial" w:eastAsia="Arial" w:hAnsi="Arial"/>
          <w:sz w:val="18"/>
          <w:szCs w:val="18"/>
          <w:color w:val="auto"/>
        </w:rPr>
      </w:pPr>
    </w:p>
    <w:p>
      <w:pPr>
        <w:jc w:val="both"/>
        <w:ind w:right="40" w:firstLine="1304"/>
        <w:spacing w:after="0" w:line="259" w:lineRule="auto"/>
        <w:tabs>
          <w:tab w:leader="none" w:pos="155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right="100"/>
        <w:spacing w:after="0" w:line="263"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Corporate Trustee Required; Eligibility; Conflicting Interests</w:t>
      </w:r>
      <w:r>
        <w:rPr>
          <w:rFonts w:ascii="Arial" w:cs="Arial" w:eastAsia="Arial" w:hAnsi="Arial"/>
          <w:sz w:val="16"/>
          <w:szCs w:val="16"/>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225" w:lineRule="exact"/>
        <w:rPr>
          <w:sz w:val="20"/>
          <w:szCs w:val="20"/>
          <w:color w:val="auto"/>
        </w:rPr>
      </w:pPr>
    </w:p>
    <w:p>
      <w:pPr>
        <w:ind w:right="240" w:firstLine="1304"/>
        <w:spacing w:after="0" w:line="308" w:lineRule="auto"/>
        <w:tabs>
          <w:tab w:leader="none" w:pos="15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46" w:lineRule="exact"/>
        <w:rPr>
          <w:rFonts w:ascii="Arial" w:cs="Arial" w:eastAsia="Arial" w:hAnsi="Arial"/>
          <w:sz w:val="17"/>
          <w:szCs w:val="17"/>
          <w:color w:val="auto"/>
        </w:rPr>
      </w:pPr>
    </w:p>
    <w:p>
      <w:pPr>
        <w:ind w:right="80" w:firstLine="1304"/>
        <w:spacing w:after="0" w:line="259" w:lineRule="auto"/>
        <w:tabs>
          <w:tab w:leader="none" w:pos="155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86" w:lineRule="exact"/>
        <w:rPr>
          <w:rFonts w:ascii="Arial" w:cs="Arial" w:eastAsia="Arial" w:hAnsi="Arial"/>
          <w:sz w:val="18"/>
          <w:szCs w:val="18"/>
          <w:color w:val="auto"/>
        </w:rPr>
      </w:pPr>
    </w:p>
    <w:p>
      <w:pPr>
        <w:ind w:right="40" w:firstLine="1304"/>
        <w:spacing w:after="0" w:line="279" w:lineRule="auto"/>
        <w:tabs>
          <w:tab w:leader="none" w:pos="15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1" w:lineRule="exact"/>
        <w:rPr>
          <w:rFonts w:ascii="Arial" w:cs="Arial" w:eastAsia="Arial" w:hAnsi="Arial"/>
          <w:sz w:val="17"/>
          <w:szCs w:val="17"/>
          <w:color w:val="auto"/>
        </w:rPr>
      </w:pPr>
    </w:p>
    <w:p>
      <w:pPr>
        <w:ind w:left="1560" w:hanging="256"/>
        <w:spacing w:after="0"/>
        <w:tabs>
          <w:tab w:leader="none" w:pos="15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9" w:name="page170"/>
    <w:bookmarkEnd w:id="169"/>
    <w:p>
      <w:pPr>
        <w:ind w:right="300" w:firstLine="1304"/>
        <w:spacing w:after="0" w:line="277" w:lineRule="auto"/>
        <w:tabs>
          <w:tab w:leader="none" w:pos="15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ind w:right="20" w:firstLine="1304"/>
        <w:spacing w:after="0" w:line="277" w:lineRule="auto"/>
        <w:tabs>
          <w:tab w:leader="none" w:pos="15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jc w:val="both"/>
        <w:ind w:right="40" w:firstLine="1304"/>
        <w:spacing w:after="0" w:line="263" w:lineRule="auto"/>
        <w:tabs>
          <w:tab w:leader="none" w:pos="15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right="20" w:firstLine="1304"/>
        <w:spacing w:after="0" w:line="287" w:lineRule="auto"/>
        <w:tabs>
          <w:tab w:leader="none" w:pos="1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1" w:lineRule="exact"/>
        <w:rPr>
          <w:rFonts w:ascii="Arial" w:cs="Arial" w:eastAsia="Arial" w:hAnsi="Arial"/>
          <w:sz w:val="16"/>
          <w:szCs w:val="16"/>
          <w:color w:val="auto"/>
        </w:rPr>
      </w:pPr>
    </w:p>
    <w:p>
      <w:pPr>
        <w:ind w:right="120" w:firstLine="1304"/>
        <w:spacing w:after="0" w:line="259" w:lineRule="auto"/>
        <w:tabs>
          <w:tab w:leader="none" w:pos="152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firstLine="1304"/>
        <w:spacing w:after="0" w:line="254"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ind w:firstLine="1304"/>
        <w:spacing w:after="0" w:line="285" w:lineRule="auto"/>
        <w:tabs>
          <w:tab w:leader="none" w:pos="155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6" w:lineRule="exact"/>
        <w:rPr>
          <w:rFonts w:ascii="Arial" w:cs="Arial" w:eastAsia="Arial" w:hAnsi="Arial"/>
          <w:sz w:val="16"/>
          <w:szCs w:val="16"/>
          <w:color w:val="auto"/>
        </w:rPr>
      </w:pPr>
    </w:p>
    <w:p>
      <w:pPr>
        <w:ind w:firstLine="1304"/>
        <w:spacing w:after="0" w:line="342" w:lineRule="auto"/>
        <w:tabs>
          <w:tab w:leader="none" w:pos="15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23" w:lineRule="exact"/>
        <w:rPr>
          <w:rFonts w:ascii="Arial" w:cs="Arial" w:eastAsia="Arial" w:hAnsi="Arial"/>
          <w:sz w:val="16"/>
          <w:szCs w:val="16"/>
          <w:color w:val="auto"/>
        </w:rPr>
      </w:pPr>
    </w:p>
    <w:p>
      <w:pPr>
        <w:ind w:right="120" w:firstLine="1304"/>
        <w:spacing w:after="0" w:line="277" w:lineRule="auto"/>
        <w:tabs>
          <w:tab w:leader="none" w:pos="155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ind w:firstLine="648"/>
        <w:spacing w:after="0" w:line="286"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6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5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7000" w:type="dxa"/>
            <w:vAlign w:val="bottom"/>
            <w:gridSpan w:val="4"/>
          </w:tcPr>
          <w:p>
            <w:pPr>
              <w:ind w:left="2520"/>
              <w:spacing w:after="0"/>
              <w:rPr>
                <w:sz w:val="20"/>
                <w:szCs w:val="20"/>
                <w:color w:val="auto"/>
              </w:rPr>
            </w:pPr>
            <w:r>
              <w:rPr>
                <w:rFonts w:ascii="Arial" w:cs="Arial" w:eastAsia="Arial" w:hAnsi="Arial"/>
                <w:sz w:val="18"/>
                <w:szCs w:val="18"/>
                <w:color w:val="auto"/>
              </w:rPr>
              <w:t>[NAME OF TRUSTEE] as Trustee</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240" w:type="dxa"/>
            <w:vAlign w:val="bottom"/>
          </w:tcPr>
          <w:p>
            <w:pPr>
              <w:spacing w:after="0"/>
              <w:rPr>
                <w:sz w:val="20"/>
                <w:szCs w:val="20"/>
                <w:color w:val="auto"/>
              </w:rPr>
            </w:pPr>
            <w:r>
              <w:rPr>
                <w:rFonts w:ascii="Arial" w:cs="Arial" w:eastAsia="Arial" w:hAnsi="Arial"/>
                <w:sz w:val="18"/>
                <w:szCs w:val="18"/>
                <w:color w:val="auto"/>
              </w:rPr>
              <w:t>Dated: ___________________________</w:t>
            </w:r>
          </w:p>
        </w:tc>
        <w:tc>
          <w:tcPr>
            <w:tcW w:w="7000" w:type="dxa"/>
            <w:vAlign w:val="bottom"/>
            <w:gridSpan w:val="4"/>
          </w:tcPr>
          <w:p>
            <w:pPr>
              <w:ind w:left="25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Authenticating Agent</w:t>
            </w:r>
          </w:p>
        </w:tc>
        <w:tc>
          <w:tcPr>
            <w:tcW w:w="0" w:type="dxa"/>
            <w:vAlign w:val="bottom"/>
          </w:tcPr>
          <w:p>
            <w:pPr>
              <w:spacing w:after="0"/>
              <w:rPr>
                <w:sz w:val="1"/>
                <w:szCs w:val="1"/>
                <w:color w:val="auto"/>
              </w:rPr>
            </w:pP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Dated: ___________________________</w:t>
            </w:r>
          </w:p>
        </w:tc>
        <w:tc>
          <w:tcPr>
            <w:tcW w:w="7000" w:type="dxa"/>
            <w:vAlign w:val="bottom"/>
            <w:gridSpan w:val="4"/>
            <w:vMerge w:val="restart"/>
          </w:tcPr>
          <w:p>
            <w:pPr>
              <w:ind w:left="25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p>
        </w:tc>
        <w:tc>
          <w:tcPr>
            <w:tcW w:w="70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Authenticating Agent</w:t>
            </w:r>
          </w:p>
        </w:tc>
        <w:tc>
          <w:tcPr>
            <w:tcW w:w="0" w:type="dxa"/>
            <w:vAlign w:val="bottom"/>
          </w:tcPr>
          <w:p>
            <w:pPr>
              <w:spacing w:after="0"/>
              <w:rPr>
                <w:sz w:val="1"/>
                <w:szCs w:val="1"/>
                <w:color w:val="auto"/>
              </w:rPr>
            </w:pPr>
          </w:p>
        </w:tc>
      </w:tr>
      <w:tr>
        <w:trPr>
          <w:trHeight w:val="641"/>
        </w:trPr>
        <w:tc>
          <w:tcPr>
            <w:tcW w:w="4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72" w:name="page173"/>
    <w:bookmarkEnd w:id="172"/>
    <w:p>
      <w:pPr>
        <w:ind w:left="6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Certain Duties and Responsibilities of the Trustee</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With respect to the Securities of any series, except during the continuance of an Event of Default with respect to the Securities of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right="500" w:firstLine="1304"/>
        <w:spacing w:after="0" w:line="277" w:lineRule="auto"/>
        <w:tabs>
          <w:tab w:leader="none" w:pos="155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70" w:lineRule="exact"/>
        <w:rPr>
          <w:rFonts w:ascii="Arial" w:cs="Arial" w:eastAsia="Arial" w:hAnsi="Arial"/>
          <w:sz w:val="18"/>
          <w:szCs w:val="18"/>
          <w:color w:val="auto"/>
        </w:rPr>
      </w:pPr>
    </w:p>
    <w:p>
      <w:pPr>
        <w:jc w:val="both"/>
        <w:ind w:right="80" w:firstLine="1304"/>
        <w:spacing w:after="0" w:line="257" w:lineRule="auto"/>
        <w:tabs>
          <w:tab w:leader="none" w:pos="155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8" w:lineRule="exact"/>
        <w:rPr>
          <w:sz w:val="20"/>
          <w:szCs w:val="20"/>
          <w:color w:val="auto"/>
        </w:rPr>
      </w:pPr>
    </w:p>
    <w:p>
      <w:pPr>
        <w:jc w:val="both"/>
        <w:ind w:right="80" w:firstLine="1304"/>
        <w:spacing w:after="0" w:line="263" w:lineRule="auto"/>
        <w:tabs>
          <w:tab w:leader="none" w:pos="155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83" w:lineRule="exact"/>
        <w:rPr>
          <w:rFonts w:ascii="Arial" w:cs="Arial" w:eastAsia="Arial" w:hAnsi="Arial"/>
          <w:sz w:val="18"/>
          <w:szCs w:val="18"/>
          <w:color w:val="auto"/>
        </w:rPr>
      </w:pPr>
    </w:p>
    <w:p>
      <w:pPr>
        <w:ind w:right="240" w:firstLine="1304"/>
        <w:spacing w:after="0" w:line="277" w:lineRule="auto"/>
        <w:tabs>
          <w:tab w:leader="none" w:pos="1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sz w:val="20"/>
          <w:szCs w:val="20"/>
          <w:color w:val="auto"/>
        </w:rPr>
      </w:pPr>
    </w:p>
    <w:p>
      <w:pPr>
        <w:ind w:left="1560" w:hanging="256"/>
        <w:spacing w:after="0"/>
        <w:tabs>
          <w:tab w:leader="none" w:pos="1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225" w:lineRule="exact"/>
        <w:rPr>
          <w:rFonts w:ascii="Arial" w:cs="Arial" w:eastAsia="Arial" w:hAnsi="Arial"/>
          <w:sz w:val="18"/>
          <w:szCs w:val="18"/>
          <w:color w:val="auto"/>
        </w:rPr>
      </w:pPr>
    </w:p>
    <w:p>
      <w:pPr>
        <w:ind w:right="40" w:firstLine="1304"/>
        <w:spacing w:after="0" w:line="277" w:lineRule="auto"/>
        <w:tabs>
          <w:tab w:leader="none" w:pos="155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3" w:name="page174"/>
    <w:bookmarkEnd w:id="173"/>
    <w:p>
      <w:pPr>
        <w:ind w:right="160" w:firstLine="1304"/>
        <w:spacing w:after="0" w:line="259" w:lineRule="auto"/>
        <w:tabs>
          <w:tab w:leader="none" w:pos="155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86" w:lineRule="exact"/>
        <w:rPr>
          <w:rFonts w:ascii="Arial" w:cs="Arial" w:eastAsia="Arial" w:hAnsi="Arial"/>
          <w:sz w:val="18"/>
          <w:szCs w:val="18"/>
          <w:color w:val="auto"/>
        </w:rPr>
      </w:pPr>
    </w:p>
    <w:p>
      <w:pPr>
        <w:ind w:right="80" w:firstLine="1304"/>
        <w:spacing w:after="0" w:line="257" w:lineRule="auto"/>
        <w:tabs>
          <w:tab w:leader="none" w:pos="155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88" w:lineRule="exact"/>
        <w:rPr>
          <w:sz w:val="20"/>
          <w:szCs w:val="20"/>
          <w:color w:val="auto"/>
        </w:rPr>
      </w:pPr>
    </w:p>
    <w:p>
      <w:pPr>
        <w:ind w:right="180" w:firstLine="1304"/>
        <w:spacing w:after="0" w:line="277" w:lineRule="auto"/>
        <w:tabs>
          <w:tab w:leader="none" w:pos="155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70" w:lineRule="exact"/>
        <w:rPr>
          <w:rFonts w:ascii="Arial" w:cs="Arial" w:eastAsia="Arial" w:hAnsi="Arial"/>
          <w:sz w:val="18"/>
          <w:szCs w:val="18"/>
          <w:color w:val="auto"/>
        </w:rPr>
      </w:pPr>
    </w:p>
    <w:p>
      <w:pPr>
        <w:ind w:right="20" w:firstLine="1304"/>
        <w:spacing w:after="0" w:line="308" w:lineRule="auto"/>
        <w:tabs>
          <w:tab w:leader="none" w:pos="1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Disclosure of Names and Addresses of Holders</w:t>
      </w:r>
      <w:r>
        <w:rPr>
          <w:rFonts w:ascii="Arial" w:cs="Arial" w:eastAsia="Arial" w:hAnsi="Arial"/>
          <w:sz w:val="18"/>
          <w:szCs w:val="18"/>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8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Reports by Trustee</w:t>
      </w:r>
      <w:r>
        <w:rPr>
          <w:rFonts w:ascii="Arial" w:cs="Arial" w:eastAsia="Arial" w:hAnsi="Arial"/>
          <w:sz w:val="16"/>
          <w:szCs w:val="16"/>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w:t>
      </w:r>
    </w:p>
    <w:p>
      <w:pPr>
        <w:ind w:right="160"/>
        <w:spacing w:after="0" w:line="302" w:lineRule="auto"/>
        <w:rPr>
          <w:sz w:val="20"/>
          <w:szCs w:val="20"/>
          <w:color w:val="auto"/>
        </w:rPr>
      </w:pPr>
      <w:r>
        <w:rPr>
          <w:rFonts w:ascii="Arial" w:cs="Arial" w:eastAsia="Arial" w:hAnsi="Arial"/>
          <w:sz w:val="16"/>
          <w:szCs w:val="16"/>
          <w:color w:val="auto"/>
        </w:rPr>
        <w:t>commencing on , 20___.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will:</w:t>
      </w:r>
    </w:p>
    <w:p>
      <w:pPr>
        <w:spacing w:after="0" w:line="225" w:lineRule="exact"/>
        <w:rPr>
          <w:sz w:val="20"/>
          <w:szCs w:val="20"/>
          <w:color w:val="auto"/>
        </w:rPr>
      </w:pPr>
    </w:p>
    <w:p>
      <w:pPr>
        <w:ind w:right="60" w:firstLine="1304"/>
        <w:spacing w:after="0" w:line="290" w:lineRule="auto"/>
        <w:tabs>
          <w:tab w:leader="none" w:pos="155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4" w:name="page175"/>
    <w:bookmarkEnd w:id="174"/>
    <w:p>
      <w:pPr>
        <w:ind w:right="40" w:firstLine="1304"/>
        <w:spacing w:after="0" w:line="263" w:lineRule="auto"/>
        <w:tabs>
          <w:tab w:leader="none" w:pos="155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83" w:lineRule="exact"/>
        <w:rPr>
          <w:rFonts w:ascii="Arial" w:cs="Arial" w:eastAsia="Arial" w:hAnsi="Arial"/>
          <w:sz w:val="18"/>
          <w:szCs w:val="18"/>
          <w:color w:val="auto"/>
        </w:rPr>
      </w:pPr>
    </w:p>
    <w:p>
      <w:pPr>
        <w:ind w:right="20" w:firstLine="1304"/>
        <w:spacing w:after="0" w:line="286" w:lineRule="auto"/>
        <w:tabs>
          <w:tab w:leader="none" w:pos="155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65" w:lineRule="exact"/>
        <w:rPr>
          <w:rFonts w:ascii="Arial" w:cs="Arial" w:eastAsia="Arial" w:hAnsi="Arial"/>
          <w:sz w:val="17"/>
          <w:szCs w:val="17"/>
          <w:color w:val="auto"/>
        </w:rPr>
      </w:pPr>
    </w:p>
    <w:p>
      <w:pPr>
        <w:ind w:right="20" w:firstLine="1304"/>
        <w:spacing w:after="0" w:line="286" w:lineRule="auto"/>
        <w:tabs>
          <w:tab w:leader="none" w:pos="155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Company to Furnish Trustee Names and Addresses of Holders</w:t>
      </w:r>
      <w:r>
        <w:rPr>
          <w:rFonts w:ascii="Arial" w:cs="Arial" w:eastAsia="Arial" w:hAnsi="Arial"/>
          <w:sz w:val="16"/>
          <w:szCs w:val="16"/>
          <w:color w:val="auto"/>
        </w:rPr>
        <w:t>. The Company will furnish or cause to be furnished to the Trustee:</w:t>
      </w:r>
    </w:p>
    <w:p>
      <w:pPr>
        <w:spacing w:after="0" w:line="248" w:lineRule="exact"/>
        <w:rPr>
          <w:sz w:val="20"/>
          <w:szCs w:val="20"/>
          <w:color w:val="auto"/>
        </w:rPr>
      </w:pPr>
    </w:p>
    <w:p>
      <w:pPr>
        <w:ind w:firstLine="1304"/>
        <w:spacing w:after="0" w:line="259" w:lineRule="auto"/>
        <w:tabs>
          <w:tab w:leader="none" w:pos="1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6" w:lineRule="exact"/>
        <w:rPr>
          <w:rFonts w:ascii="Arial" w:cs="Arial" w:eastAsia="Arial" w:hAnsi="Arial"/>
          <w:sz w:val="18"/>
          <w:szCs w:val="18"/>
          <w:color w:val="auto"/>
        </w:rPr>
      </w:pPr>
    </w:p>
    <w:p>
      <w:pPr>
        <w:jc w:val="both"/>
        <w:ind w:right="140" w:firstLine="1304"/>
        <w:spacing w:after="0" w:line="263" w:lineRule="auto"/>
        <w:tabs>
          <w:tab w:leader="none" w:pos="155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 provided, however, that, so long as the Trustee is the Security Registrar, no such list shall be required to be furnished.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SALE, LEASE OR CONVEYANCE</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Consolidations and Mergers of Company and Sales, Leases and Conveyances Permitted Subject to Certain Conditions</w:t>
      </w:r>
      <w:r>
        <w:rPr>
          <w:rFonts w:ascii="Arial" w:cs="Arial" w:eastAsia="Arial" w:hAnsi="Arial"/>
          <w:sz w:val="17"/>
          <w:szCs w:val="17"/>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ind w:firstLine="648"/>
        <w:spacing w:after="0" w:line="269"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Rights and Duties of Successor Corporation</w:t>
      </w:r>
      <w:r>
        <w:rPr>
          <w:rFonts w:ascii="Arial" w:cs="Arial" w:eastAsia="Arial" w:hAnsi="Arial"/>
          <w:sz w:val="17"/>
          <w:szCs w:val="17"/>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84" w:lineRule="exact"/>
        <w:rPr>
          <w:sz w:val="20"/>
          <w:szCs w:val="20"/>
          <w:color w:val="auto"/>
        </w:rPr>
      </w:pPr>
    </w:p>
    <w:p>
      <w:pPr>
        <w:ind w:right="500" w:firstLine="1304"/>
        <w:spacing w:after="0" w:line="277" w:lineRule="auto"/>
        <w:tabs>
          <w:tab w:leader="none" w:pos="155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170" w:lineRule="exact"/>
        <w:rPr>
          <w:rFonts w:ascii="Arial" w:cs="Arial" w:eastAsia="Arial" w:hAnsi="Arial"/>
          <w:sz w:val="18"/>
          <w:szCs w:val="18"/>
          <w:color w:val="auto"/>
        </w:rPr>
      </w:pPr>
    </w:p>
    <w:p>
      <w:pPr>
        <w:ind w:right="20" w:firstLine="1304"/>
        <w:spacing w:after="0" w:line="263" w:lineRule="auto"/>
        <w:tabs>
          <w:tab w:leader="none" w:pos="155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3" w:lineRule="exact"/>
        <w:rPr>
          <w:rFonts w:ascii="Arial" w:cs="Arial" w:eastAsia="Arial" w:hAnsi="Arial"/>
          <w:sz w:val="18"/>
          <w:szCs w:val="18"/>
          <w:color w:val="auto"/>
        </w:rPr>
      </w:pPr>
    </w:p>
    <w:p>
      <w:pPr>
        <w:ind w:right="160" w:firstLine="1304"/>
        <w:spacing w:after="0" w:line="293" w:lineRule="auto"/>
        <w:tabs>
          <w:tab w:leader="none" w:pos="155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provided, however,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6" w:name="page177"/>
    <w:bookmarkEnd w:id="176"/>
    <w:p>
      <w:pPr>
        <w:ind w:firstLine="1304"/>
        <w:spacing w:after="0" w:line="275" w:lineRule="auto"/>
        <w:tabs>
          <w:tab w:leader="none" w:pos="155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176" w:lineRule="exact"/>
        <w:rPr>
          <w:rFonts w:ascii="Arial" w:cs="Arial" w:eastAsia="Arial" w:hAnsi="Arial"/>
          <w:sz w:val="17"/>
          <w:szCs w:val="17"/>
          <w:color w:val="auto"/>
        </w:rPr>
      </w:pPr>
    </w:p>
    <w:p>
      <w:pPr>
        <w:jc w:val="both"/>
        <w:ind w:right="220" w:firstLine="1304"/>
        <w:spacing w:after="0" w:line="263" w:lineRule="auto"/>
        <w:tabs>
          <w:tab w:leader="none" w:pos="155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such provision; or</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establish the form or terms of Securities of any series and any related coupons as permitted or contemplated by Sections 201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301; or</w:t>
      </w:r>
    </w:p>
    <w:p>
      <w:pPr>
        <w:spacing w:after="0" w:line="210" w:lineRule="exact"/>
        <w:rPr>
          <w:rFonts w:ascii="Arial" w:cs="Arial" w:eastAsia="Arial" w:hAnsi="Arial"/>
          <w:sz w:val="16"/>
          <w:szCs w:val="16"/>
          <w:color w:val="auto"/>
        </w:rPr>
      </w:pPr>
    </w:p>
    <w:p>
      <w:pPr>
        <w:jc w:val="both"/>
        <w:ind w:right="140" w:firstLine="1304"/>
        <w:spacing w:after="0" w:line="263" w:lineRule="auto"/>
        <w:tabs>
          <w:tab w:leader="none" w:pos="155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3" w:lineRule="exact"/>
        <w:rPr>
          <w:rFonts w:ascii="Arial" w:cs="Arial" w:eastAsia="Arial" w:hAnsi="Arial"/>
          <w:sz w:val="18"/>
          <w:szCs w:val="18"/>
          <w:color w:val="auto"/>
        </w:rPr>
      </w:pPr>
    </w:p>
    <w:p>
      <w:pPr>
        <w:jc w:val="both"/>
        <w:ind w:right="20" w:firstLine="1304"/>
        <w:spacing w:after="0" w:line="259" w:lineRule="auto"/>
        <w:tabs>
          <w:tab w:leader="none" w:pos="155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provided such provisions shall not adversely affect the interests of the Holders of Securities of any series or any related coupons in any material respect; or</w:t>
      </w:r>
    </w:p>
    <w:p>
      <w:pPr>
        <w:spacing w:after="0" w:line="186" w:lineRule="exact"/>
        <w:rPr>
          <w:rFonts w:ascii="Arial" w:cs="Arial" w:eastAsia="Arial" w:hAnsi="Arial"/>
          <w:sz w:val="18"/>
          <w:szCs w:val="18"/>
          <w:color w:val="auto"/>
        </w:rPr>
      </w:pPr>
    </w:p>
    <w:p>
      <w:pPr>
        <w:jc w:val="both"/>
        <w:ind w:right="120" w:firstLine="1304"/>
        <w:spacing w:after="0" w:line="286" w:lineRule="auto"/>
        <w:tabs>
          <w:tab w:leader="none" w:pos="164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and any related coupons or any other series of Securities in any material respect; or</w:t>
      </w:r>
    </w:p>
    <w:p>
      <w:pPr>
        <w:spacing w:after="0" w:line="165" w:lineRule="exact"/>
        <w:rPr>
          <w:rFonts w:ascii="Arial" w:cs="Arial" w:eastAsia="Arial" w:hAnsi="Arial"/>
          <w:sz w:val="17"/>
          <w:szCs w:val="17"/>
          <w:color w:val="auto"/>
        </w:rPr>
      </w:pPr>
    </w:p>
    <w:p>
      <w:pPr>
        <w:ind w:left="1640" w:hanging="336"/>
        <w:spacing w:after="0"/>
        <w:tabs>
          <w:tab w:leader="none" w:pos="16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make provisions with respect to Holders’ rights of conversion with respect to any series of Securities pursuant to Article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Seventeen.</w:t>
      </w:r>
    </w:p>
    <w:p>
      <w:pPr>
        <w:spacing w:after="0" w:line="21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Supplemental Indentures with Consent of Holders</w:t>
      </w:r>
      <w:r>
        <w:rPr>
          <w:rFonts w:ascii="Arial" w:cs="Arial" w:eastAsia="Arial" w:hAnsi="Arial"/>
          <w:sz w:val="17"/>
          <w:szCs w:val="17"/>
          <w:color w:val="auto"/>
        </w:rPr>
        <w:t>.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provided, however, that no such supplemental indenture shall, without the consent of the Holder of each Outstanding Security affected thereby:</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77" w:name="page178"/>
    <w:bookmarkEnd w:id="177"/>
    <w:p>
      <w:pPr>
        <w:ind w:firstLine="1304"/>
        <w:spacing w:after="0" w:line="269" w:lineRule="auto"/>
        <w:tabs>
          <w:tab w:leader="none" w:pos="155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185" w:lineRule="exact"/>
        <w:rPr>
          <w:rFonts w:ascii="Arial" w:cs="Arial" w:eastAsia="Arial" w:hAnsi="Arial"/>
          <w:sz w:val="17"/>
          <w:szCs w:val="17"/>
          <w:color w:val="auto"/>
        </w:rPr>
      </w:pPr>
    </w:p>
    <w:p>
      <w:pPr>
        <w:ind w:firstLine="1304"/>
        <w:spacing w:after="0" w:line="259" w:lineRule="auto"/>
        <w:tabs>
          <w:tab w:leader="none" w:pos="155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86" w:lineRule="exact"/>
        <w:rPr>
          <w:rFonts w:ascii="Arial" w:cs="Arial" w:eastAsia="Arial" w:hAnsi="Arial"/>
          <w:sz w:val="18"/>
          <w:szCs w:val="18"/>
          <w:color w:val="auto"/>
        </w:rPr>
      </w:pPr>
    </w:p>
    <w:p>
      <w:pPr>
        <w:ind w:right="260" w:firstLine="1304"/>
        <w:spacing w:after="0" w:line="257" w:lineRule="auto"/>
        <w:tabs>
          <w:tab w:leader="none" w:pos="155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901(8).</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Execution of Supplemental Indentures</w:t>
      </w:r>
      <w:r>
        <w:rPr>
          <w:rFonts w:ascii="Arial" w:cs="Arial" w:eastAsia="Arial" w:hAnsi="Arial"/>
          <w:sz w:val="16"/>
          <w:szCs w:val="16"/>
          <w:color w:val="auto"/>
        </w:rPr>
        <w:t>. In executing, or accepting the additional trusts created by, any supplemental indenture permitted by this Article or the modification thereby of the trusts created by this Indenture, the Trustee shall be entitled to receive, and (subject to Section</w:t>
      </w:r>
    </w:p>
    <w:p>
      <w:pPr>
        <w:ind w:right="60" w:firstLine="8"/>
        <w:spacing w:after="0" w:line="255" w:lineRule="auto"/>
        <w:tabs>
          <w:tab w:leader="none" w:pos="37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ind w:right="280" w:firstLine="648"/>
        <w:spacing w:after="0" w:line="286"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Effect of Supplemental Indentures.</w:t>
      </w:r>
      <w:r>
        <w:rPr>
          <w:rFonts w:ascii="Arial" w:cs="Arial" w:eastAsia="Arial" w:hAnsi="Arial"/>
          <w:sz w:val="17"/>
          <w:szCs w:val="17"/>
          <w:color w:val="auto"/>
        </w:rPr>
        <w:t xml:space="preserve">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6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or Make-Whole Amount, if any; and Interest</w:t>
      </w:r>
      <w:r>
        <w:rPr>
          <w:rFonts w:ascii="Arial" w:cs="Arial" w:eastAsia="Arial" w:hAnsi="Arial"/>
          <w:sz w:val="18"/>
          <w:szCs w:val="18"/>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9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provided, however,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spacing w:after="0" w:line="272" w:lineRule="auto"/>
        <w:rPr>
          <w:sz w:val="20"/>
          <w:szCs w:val="20"/>
          <w:color w:val="auto"/>
        </w:rPr>
      </w:pPr>
      <w:r>
        <w:rPr>
          <w:rFonts w:ascii="Arial" w:cs="Arial" w:eastAsia="Arial" w:hAnsi="Arial"/>
          <w:sz w:val="17"/>
          <w:szCs w:val="17"/>
          <w:color w:val="auto"/>
        </w:rPr>
        <w:t>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provided, however,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may from time to time designate one or more other offices or agencies (in or outside the Place of Payment) where the Securities of one or more series may be presented or surrendered for any or all of such purposes, and may from time to time rescind such designations; provided, however,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0" w:name="page181"/>
    <w:bookmarkEnd w:id="180"/>
    <w:p>
      <w:pPr>
        <w:ind w:right="60"/>
        <w:spacing w:after="0" w:line="255"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right="360" w:firstLine="1304"/>
        <w:spacing w:after="0" w:line="308" w:lineRule="auto"/>
        <w:tabs>
          <w:tab w:leader="none" w:pos="155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46" w:lineRule="exact"/>
        <w:rPr>
          <w:rFonts w:ascii="Arial" w:cs="Arial" w:eastAsia="Arial" w:hAnsi="Arial"/>
          <w:sz w:val="17"/>
          <w:szCs w:val="17"/>
          <w:color w:val="auto"/>
        </w:rPr>
      </w:pPr>
    </w:p>
    <w:p>
      <w:pPr>
        <w:ind w:right="160" w:firstLine="1304"/>
        <w:spacing w:after="0" w:line="277" w:lineRule="auto"/>
        <w:tabs>
          <w:tab w:leader="none" w:pos="155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70" w:lineRule="exact"/>
        <w:rPr>
          <w:rFonts w:ascii="Arial" w:cs="Arial" w:eastAsia="Arial" w:hAnsi="Arial"/>
          <w:sz w:val="18"/>
          <w:szCs w:val="18"/>
          <w:color w:val="auto"/>
        </w:rPr>
      </w:pPr>
    </w:p>
    <w:p>
      <w:pPr>
        <w:ind w:firstLine="1304"/>
        <w:spacing w:after="0" w:line="277" w:lineRule="auto"/>
        <w:tabs>
          <w:tab w:leader="none" w:pos="155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right="160" w:firstLine="648"/>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Existence</w:t>
      </w:r>
      <w:r>
        <w:rPr>
          <w:rFonts w:ascii="Arial" w:cs="Arial" w:eastAsia="Arial" w:hAnsi="Arial"/>
          <w:sz w:val="18"/>
          <w:szCs w:val="18"/>
          <w:color w:val="auto"/>
        </w:rPr>
        <w:t>. Subject to Article Eight, the Company will do or cause to be done all things necessary to preserve and keep in full force and effect its corporate existence, all material rights (by articles of incorporation, by-laws and statute) and material franchises; provided, however, that the Company shall not be required to preserve any such right or franchise if the Board of Directors shall determine that the preservation thereof is no longer desirable in the conduct of the business of the Company.</w:t>
      </w:r>
    </w:p>
    <w:p>
      <w:pPr>
        <w:spacing w:after="0" w:line="18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Company will cause all of its material properties used or useful in the conduct of its business 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provided, however, that the Company and its Subsidiaries shall not be prevented from (i) 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19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will cause each of its and its Subsidiaries’ insurable properties to be insured against loss or damage in an amount deemed reasonable by the Board of Directors with insurers of recognized responsibility.</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 The Company will pay 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6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Election to Redeem; Notice to Trustee</w:t>
      </w:r>
      <w:r>
        <w:rPr>
          <w:rFonts w:ascii="Arial" w:cs="Arial" w:eastAsia="Arial" w:hAnsi="Arial"/>
          <w:sz w:val="17"/>
          <w:szCs w:val="17"/>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560" w:hanging="256"/>
        <w:spacing w:after="0"/>
        <w:tabs>
          <w:tab w:leader="none" w:pos="15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right="200" w:firstLine="1304"/>
        <w:spacing w:after="0" w:line="277" w:lineRule="auto"/>
        <w:tabs>
          <w:tab w:leader="none" w:pos="155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70" w:lineRule="exact"/>
        <w:rPr>
          <w:rFonts w:ascii="Arial" w:cs="Arial" w:eastAsia="Arial" w:hAnsi="Arial"/>
          <w:sz w:val="18"/>
          <w:szCs w:val="18"/>
          <w:color w:val="auto"/>
        </w:rPr>
      </w:pPr>
    </w:p>
    <w:p>
      <w:pPr>
        <w:ind w:right="100" w:firstLine="1304"/>
        <w:spacing w:after="0" w:line="263" w:lineRule="auto"/>
        <w:tabs>
          <w:tab w:leader="none" w:pos="155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83" w:lineRule="exact"/>
        <w:rPr>
          <w:rFonts w:ascii="Arial" w:cs="Arial" w:eastAsia="Arial" w:hAnsi="Arial"/>
          <w:sz w:val="18"/>
          <w:szCs w:val="18"/>
          <w:color w:val="auto"/>
        </w:rPr>
      </w:pPr>
    </w:p>
    <w:p>
      <w:pPr>
        <w:ind w:right="20" w:firstLine="1304"/>
        <w:spacing w:after="0" w:line="263" w:lineRule="auto"/>
        <w:tabs>
          <w:tab w:leader="none" w:pos="155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83" w:lineRule="exact"/>
        <w:rPr>
          <w:rFonts w:ascii="Arial" w:cs="Arial" w:eastAsia="Arial" w:hAnsi="Arial"/>
          <w:sz w:val="18"/>
          <w:szCs w:val="18"/>
          <w:color w:val="auto"/>
        </w:rPr>
      </w:pPr>
    </w:p>
    <w:p>
      <w:pPr>
        <w:ind w:right="80" w:firstLine="1304"/>
        <w:spacing w:after="0" w:line="342" w:lineRule="auto"/>
        <w:tabs>
          <w:tab w:leader="none" w:pos="155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225" w:lineRule="exact"/>
        <w:rPr>
          <w:rFonts w:ascii="Arial" w:cs="Arial" w:eastAsia="Arial" w:hAnsi="Arial"/>
          <w:sz w:val="18"/>
          <w:szCs w:val="18"/>
          <w:color w:val="auto"/>
        </w:rPr>
      </w:pPr>
    </w:p>
    <w:p>
      <w:pPr>
        <w:ind w:right="100" w:firstLine="1304"/>
        <w:spacing w:after="0" w:line="311" w:lineRule="auto"/>
        <w:tabs>
          <w:tab w:leader="none" w:pos="155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148" w:lineRule="exact"/>
        <w:rPr>
          <w:rFonts w:ascii="Arial" w:cs="Arial" w:eastAsia="Arial" w:hAnsi="Arial"/>
          <w:sz w:val="16"/>
          <w:szCs w:val="16"/>
          <w:color w:val="auto"/>
        </w:rPr>
      </w:pPr>
    </w:p>
    <w:p>
      <w:pPr>
        <w:ind w:right="40" w:firstLine="1304"/>
        <w:spacing w:after="0" w:line="263" w:lineRule="auto"/>
        <w:tabs>
          <w:tab w:leader="none" w:pos="155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83" w:lineRule="exact"/>
        <w:rPr>
          <w:rFonts w:ascii="Arial" w:cs="Arial" w:eastAsia="Arial" w:hAnsi="Arial"/>
          <w:sz w:val="18"/>
          <w:szCs w:val="18"/>
          <w:color w:val="auto"/>
        </w:rPr>
      </w:pPr>
    </w:p>
    <w:p>
      <w:pPr>
        <w:ind w:left="1640" w:hanging="336"/>
        <w:spacing w:after="0"/>
        <w:tabs>
          <w:tab w:leader="none" w:pos="1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CUSIP number of such Security, if any, and</w:t>
      </w:r>
    </w:p>
    <w:p>
      <w:pPr>
        <w:spacing w:after="0" w:line="225" w:lineRule="exact"/>
        <w:rPr>
          <w:rFonts w:ascii="Arial" w:cs="Arial" w:eastAsia="Arial" w:hAnsi="Arial"/>
          <w:sz w:val="18"/>
          <w:szCs w:val="18"/>
          <w:color w:val="auto"/>
        </w:rPr>
      </w:pPr>
    </w:p>
    <w:p>
      <w:pPr>
        <w:ind w:right="560" w:firstLine="1304"/>
        <w:spacing w:after="0" w:line="263" w:lineRule="auto"/>
        <w:tabs>
          <w:tab w:leader="none" w:pos="163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4" w:name="page185"/>
    <w:bookmarkEnd w:id="184"/>
    <w:p>
      <w:pPr>
        <w:jc w:val="both"/>
        <w:ind w:right="40"/>
        <w:spacing w:after="0" w:line="342" w:lineRule="auto"/>
        <w:rPr>
          <w:sz w:val="20"/>
          <w:szCs w:val="20"/>
          <w:color w:val="auto"/>
        </w:rPr>
      </w:pPr>
      <w:r>
        <w:rPr>
          <w:rFonts w:ascii="Arial" w:cs="Arial" w:eastAsia="Arial" w:hAnsi="Arial"/>
          <w:sz w:val="16"/>
          <w:szCs w:val="16"/>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SINKING FUNDS</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provided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6" w:name="page187"/>
    <w:bookmarkEnd w:id="186"/>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REPAYMENT AT THE OPTION OF HOLDERS</w:t>
      </w:r>
    </w:p>
    <w:p>
      <w:pPr>
        <w:spacing w:after="0" w:line="21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Repayment of Securities</w:t>
      </w:r>
      <w:r>
        <w:rPr>
          <w:rFonts w:ascii="Arial" w:cs="Arial" w:eastAsia="Arial" w:hAnsi="Arial"/>
          <w:sz w:val="16"/>
          <w:szCs w:val="16"/>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6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u w:val="single" w:color="auto"/>
          <w:color w:val="auto"/>
        </w:rPr>
        <w:t>Exercise of Option</w:t>
      </w:r>
      <w:r>
        <w:rPr>
          <w:rFonts w:ascii="Arial" w:cs="Arial" w:eastAsia="Arial" w:hAnsi="Arial"/>
          <w:sz w:val="16"/>
          <w:szCs w:val="16"/>
          <w:color w:val="auto"/>
        </w:rPr>
        <w:t>.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provided, however,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7" w:name="page188"/>
    <w:bookmarkEnd w:id="187"/>
    <w:p>
      <w:pPr>
        <w:ind w:right="60" w:firstLine="648"/>
        <w:spacing w:after="0" w:line="286"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When Securities Presented for Repayment Become Due and Payable</w:t>
      </w:r>
      <w:r>
        <w:rPr>
          <w:rFonts w:ascii="Arial" w:cs="Arial" w:eastAsia="Arial" w:hAnsi="Arial"/>
          <w:sz w:val="16"/>
          <w:szCs w:val="16"/>
          <w:color w:val="auto"/>
        </w:rPr>
        <w:t>.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provided, however,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u w:val="single" w:color="auto"/>
          <w:color w:val="auto"/>
        </w:rPr>
        <w:t>Securities Repaid in Part</w:t>
      </w:r>
      <w:r>
        <w:rPr>
          <w:rFonts w:ascii="Arial" w:cs="Arial" w:eastAsia="Arial" w:hAnsi="Arial"/>
          <w:sz w:val="17"/>
          <w:szCs w:val="17"/>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 AND COVENANT DEFEASANCE</w:t>
      </w:r>
    </w:p>
    <w:p>
      <w:pPr>
        <w:spacing w:after="0" w:line="21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Applicability of Article; Company’s Option to Effect Defeasance or Covenant Defeasance</w:t>
      </w:r>
      <w:r>
        <w:rPr>
          <w:rFonts w:ascii="Arial" w:cs="Arial" w:eastAsia="Arial" w:hAnsi="Arial"/>
          <w:sz w:val="17"/>
          <w:szCs w:val="17"/>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ind w:firstLine="648"/>
        <w:spacing w:after="0" w:line="286"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to the extent provided with respect to the Securities of such series, Article 17,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6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above option applicable to this Section with respect to any Securities of or within a series, the Company shall be released from its obligations under Sections 1004 to 1008,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1008,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89" w:name="page190"/>
    <w:bookmarkEnd w:id="189"/>
    <w:p>
      <w:pPr>
        <w:ind w:left="660"/>
        <w:spacing w:after="0"/>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Conditions to Defeasance or Covenant Defeasance</w:t>
      </w:r>
      <w:r>
        <w:rPr>
          <w:rFonts w:ascii="Arial" w:cs="Arial" w:eastAsia="Arial" w:hAnsi="Arial"/>
          <w:sz w:val="17"/>
          <w:szCs w:val="17"/>
          <w:color w:val="auto"/>
        </w:rPr>
        <w:t>. The following shall be the conditions to application of Section 1402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1403 to any Outstanding Securities of or within a series and any coupons appertaining thereto:</w:t>
      </w:r>
    </w:p>
    <w:p>
      <w:pPr>
        <w:spacing w:after="0" w:line="211" w:lineRule="exact"/>
        <w:rPr>
          <w:sz w:val="20"/>
          <w:szCs w:val="20"/>
          <w:color w:val="auto"/>
        </w:rPr>
      </w:pPr>
    </w:p>
    <w:p>
      <w:pPr>
        <w:ind w:right="40" w:firstLine="1304"/>
        <w:spacing w:after="0" w:line="286" w:lineRule="auto"/>
        <w:tabs>
          <w:tab w:leader="none" w:pos="1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67" w:lineRule="exact"/>
        <w:rPr>
          <w:rFonts w:ascii="Arial" w:cs="Arial" w:eastAsia="Arial" w:hAnsi="Arial"/>
          <w:sz w:val="16"/>
          <w:szCs w:val="16"/>
          <w:color w:val="auto"/>
        </w:rPr>
      </w:pPr>
    </w:p>
    <w:p>
      <w:pPr>
        <w:ind w:right="260" w:firstLine="1304"/>
        <w:spacing w:after="0" w:line="277" w:lineRule="auto"/>
        <w:tabs>
          <w:tab w:leader="none" w:pos="155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70" w:lineRule="exact"/>
        <w:rPr>
          <w:rFonts w:ascii="Arial" w:cs="Arial" w:eastAsia="Arial" w:hAnsi="Arial"/>
          <w:sz w:val="18"/>
          <w:szCs w:val="18"/>
          <w:color w:val="auto"/>
        </w:rPr>
      </w:pPr>
    </w:p>
    <w:p>
      <w:pPr>
        <w:ind w:right="60" w:firstLine="1304"/>
        <w:spacing w:after="0" w:line="259" w:lineRule="auto"/>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ind w:firstLine="1304"/>
        <w:spacing w:after="0" w:line="255" w:lineRule="auto"/>
        <w:tabs>
          <w:tab w:leader="none" w:pos="155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92" w:lineRule="exact"/>
        <w:rPr>
          <w:rFonts w:ascii="Arial" w:cs="Arial" w:eastAsia="Arial" w:hAnsi="Arial"/>
          <w:sz w:val="18"/>
          <w:szCs w:val="18"/>
          <w:color w:val="auto"/>
        </w:rPr>
      </w:pPr>
    </w:p>
    <w:p>
      <w:pPr>
        <w:ind w:right="300" w:firstLine="1304"/>
        <w:spacing w:after="0" w:line="259" w:lineRule="auto"/>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200" w:firstLine="1304"/>
        <w:spacing w:after="0" w:line="255" w:lineRule="auto"/>
        <w:tabs>
          <w:tab w:leader="none" w:pos="152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ind w:right="120" w:firstLine="1304"/>
        <w:spacing w:after="0" w:line="342" w:lineRule="auto"/>
        <w:tabs>
          <w:tab w:leader="none" w:pos="155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payment of amounts payable to the Trustee pursuant to this Indenture shall be paid or provided for to the reasonable satisfaction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Trustee.</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1405 </w:t>
      </w:r>
      <w:r>
        <w:rPr>
          <w:rFonts w:ascii="Arial" w:cs="Arial" w:eastAsia="Arial" w:hAnsi="Arial"/>
          <w:sz w:val="17"/>
          <w:szCs w:val="17"/>
          <w:u w:val="single" w:color="auto"/>
          <w:color w:val="auto"/>
        </w:rPr>
        <w:t>Deposited Money and Government Obligations to Be Held in Trust; Other Miscellaneous Provisions</w:t>
      </w:r>
      <w:r>
        <w:rPr>
          <w:rFonts w:ascii="Arial" w:cs="Arial" w:eastAsia="Arial" w:hAnsi="Arial"/>
          <w:sz w:val="17"/>
          <w:szCs w:val="17"/>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7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HOLDERS OF SECURITIES</w:t>
      </w:r>
    </w:p>
    <w:p>
      <w:pPr>
        <w:spacing w:after="0" w:line="211"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225" w:lineRule="exact"/>
        <w:rPr>
          <w:sz w:val="20"/>
          <w:szCs w:val="20"/>
          <w:color w:val="auto"/>
        </w:rPr>
      </w:pPr>
    </w:p>
    <w:p>
      <w:pPr>
        <w:ind w:right="20" w:firstLine="1304"/>
        <w:spacing w:after="0" w:line="259" w:lineRule="auto"/>
        <w:tabs>
          <w:tab w:leader="none" w:pos="1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86" w:lineRule="exact"/>
        <w:rPr>
          <w:rFonts w:ascii="Arial" w:cs="Arial" w:eastAsia="Arial" w:hAnsi="Arial"/>
          <w:sz w:val="18"/>
          <w:szCs w:val="18"/>
          <w:color w:val="auto"/>
        </w:rPr>
      </w:pPr>
    </w:p>
    <w:p>
      <w:pPr>
        <w:ind w:right="60" w:firstLine="1304"/>
        <w:spacing w:after="0" w:line="293" w:lineRule="auto"/>
        <w:tabs>
          <w:tab w:leader="none" w:pos="155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u w:val="single" w:color="auto"/>
          <w:color w:val="auto"/>
        </w:rPr>
        <w:t>Persons Entitled to Vote at Meetings</w:t>
      </w:r>
      <w:r>
        <w:rPr>
          <w:rFonts w:ascii="Arial" w:cs="Arial" w:eastAsia="Arial" w:hAnsi="Arial"/>
          <w:sz w:val="16"/>
          <w:szCs w:val="16"/>
          <w:color w:val="auto"/>
        </w:rPr>
        <w:t>. To be entitled to vote at any meeting of Holders of Securities of any series, a Person shall be</w:t>
      </w:r>
    </w:p>
    <w:p>
      <w:pPr>
        <w:spacing w:after="0" w:line="46" w:lineRule="exact"/>
        <w:rPr>
          <w:sz w:val="20"/>
          <w:szCs w:val="20"/>
          <w:color w:val="auto"/>
        </w:rPr>
      </w:pPr>
    </w:p>
    <w:p>
      <w:pPr>
        <w:ind w:right="40" w:firstLine="8"/>
        <w:spacing w:after="0" w:line="253" w:lineRule="auto"/>
        <w:tabs>
          <w:tab w:leader="none" w:pos="2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1504 </w:t>
      </w:r>
      <w:r>
        <w:rPr>
          <w:rFonts w:ascii="Arial" w:cs="Arial" w:eastAsia="Arial" w:hAnsi="Arial"/>
          <w:sz w:val="17"/>
          <w:szCs w:val="17"/>
          <w:u w:val="single" w:color="auto"/>
          <w:color w:val="auto"/>
        </w:rPr>
        <w:t>Quorum; Action</w:t>
      </w:r>
      <w:r>
        <w:rPr>
          <w:rFonts w:ascii="Arial" w:cs="Arial" w:eastAsia="Arial" w:hAnsi="Arial"/>
          <w:sz w:val="17"/>
          <w:szCs w:val="17"/>
          <w:color w:val="auto"/>
        </w:rPr>
        <w:t>. 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ind w:right="100"/>
        <w:spacing w:after="0" w:line="272" w:lineRule="auto"/>
        <w:rPr>
          <w:sz w:val="20"/>
          <w:szCs w:val="20"/>
          <w:color w:val="auto"/>
        </w:rPr>
      </w:pPr>
      <w:r>
        <w:rPr>
          <w:rFonts w:ascii="Arial" w:cs="Arial" w:eastAsia="Arial" w:hAnsi="Arial"/>
          <w:sz w:val="17"/>
          <w:szCs w:val="17"/>
          <w:color w:val="auto"/>
        </w:rPr>
        <w:t>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provided, however,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7" w:lineRule="exact"/>
        <w:rPr>
          <w:sz w:val="20"/>
          <w:szCs w:val="20"/>
          <w:color w:val="auto"/>
        </w:rPr>
      </w:pPr>
    </w:p>
    <w:p>
      <w:pPr>
        <w:ind w:left="1520" w:hanging="216"/>
        <w:spacing w:after="0"/>
        <w:tabs>
          <w:tab w:leader="none" w:pos="1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25" w:lineRule="exact"/>
        <w:rPr>
          <w:rFonts w:ascii="Arial" w:cs="Arial" w:eastAsia="Arial" w:hAnsi="Arial"/>
          <w:sz w:val="18"/>
          <w:szCs w:val="18"/>
          <w:color w:val="auto"/>
        </w:rPr>
      </w:pPr>
    </w:p>
    <w:p>
      <w:pPr>
        <w:ind w:right="140" w:firstLine="1304"/>
        <w:spacing w:after="0" w:line="263" w:lineRule="auto"/>
        <w:tabs>
          <w:tab w:leader="none" w:pos="156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225" w:lineRule="exact"/>
        <w:rPr>
          <w:sz w:val="20"/>
          <w:szCs w:val="20"/>
          <w:color w:val="auto"/>
        </w:rPr>
      </w:pPr>
    </w:p>
    <w:p>
      <w:pPr>
        <w:ind w:right="40" w:firstLine="1304"/>
        <w:spacing w:after="0" w:line="271" w:lineRule="auto"/>
        <w:tabs>
          <w:tab w:leader="none" w:pos="15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78" w:lineRule="exact"/>
        <w:rPr>
          <w:rFonts w:ascii="Arial" w:cs="Arial" w:eastAsia="Arial" w:hAnsi="Arial"/>
          <w:sz w:val="17"/>
          <w:szCs w:val="17"/>
          <w:color w:val="auto"/>
        </w:rPr>
      </w:pPr>
    </w:p>
    <w:p>
      <w:pPr>
        <w:ind w:right="40" w:firstLine="1304"/>
        <w:spacing w:after="0" w:line="301" w:lineRule="auto"/>
        <w:tabs>
          <w:tab w:leader="none" w:pos="155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right="80" w:firstLine="1304"/>
        <w:spacing w:after="0" w:line="259" w:lineRule="auto"/>
        <w:tabs>
          <w:tab w:leader="none" w:pos="1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At any meeting each Holder of a Security of such series or proxy shall be entitled to one vote for each $1,000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right="540" w:firstLine="1304"/>
        <w:spacing w:after="0" w:line="263" w:lineRule="auto"/>
        <w:tabs>
          <w:tab w:leader="none" w:pos="155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Counting Votes and Recording Action of Meetings</w:t>
      </w:r>
      <w:r>
        <w:rPr>
          <w:rFonts w:ascii="Arial" w:cs="Arial" w:eastAsia="Arial" w:hAnsi="Arial"/>
          <w:sz w:val="17"/>
          <w:szCs w:val="17"/>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OF SECURITIES</w:t>
      </w:r>
    </w:p>
    <w:p>
      <w:pPr>
        <w:spacing w:after="0" w:line="21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 xml:space="preserve">SECTION 1601 </w:t>
      </w:r>
      <w:r>
        <w:rPr>
          <w:rFonts w:ascii="Arial" w:cs="Arial" w:eastAsia="Arial" w:hAnsi="Arial"/>
          <w:sz w:val="16"/>
          <w:szCs w:val="16"/>
          <w:u w:val="single" w:color="auto"/>
          <w:color w:val="auto"/>
        </w:rPr>
        <w:t>Agreement to Subordinate</w:t>
      </w:r>
      <w:r>
        <w:rPr>
          <w:rFonts w:ascii="Arial" w:cs="Arial" w:eastAsia="Arial" w:hAnsi="Arial"/>
          <w:sz w:val="16"/>
          <w:szCs w:val="16"/>
          <w:color w:val="auto"/>
        </w:rPr>
        <w:t>. Notwithstanding anything in this Indenture to the contrary (other than Article Four of this Indenture), the Company covenants and agrees, and each Holder of a Security, by such Holder’s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5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SECTION 1602 </w:t>
      </w:r>
      <w:r>
        <w:rPr>
          <w:rFonts w:ascii="Arial" w:cs="Arial" w:eastAsia="Arial" w:hAnsi="Arial"/>
          <w:sz w:val="17"/>
          <w:szCs w:val="17"/>
          <w:u w:val="single" w:color="auto"/>
          <w:color w:val="auto"/>
        </w:rPr>
        <w:t>Payment Over of Proceeds upon Dissolution, Etc</w:t>
      </w:r>
      <w:r>
        <w:rPr>
          <w:rFonts w:ascii="Arial" w:cs="Arial" w:eastAsia="Arial" w:hAnsi="Arial"/>
          <w:sz w:val="17"/>
          <w:szCs w:val="17"/>
          <w:color w:val="auto"/>
        </w:rPr>
        <w:t>. 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 (b) or (c) above (each such event, if any, herein sometimes referred to as a “Proceeding”)</w:t>
      </w:r>
    </w:p>
    <w:p>
      <w:pPr>
        <w:spacing w:after="0" w:line="176" w:lineRule="exact"/>
        <w:rPr>
          <w:sz w:val="20"/>
          <w:szCs w:val="20"/>
          <w:color w:val="auto"/>
        </w:rPr>
      </w:pPr>
    </w:p>
    <w:p>
      <w:pPr>
        <w:ind w:right="100" w:firstLine="1304"/>
        <w:spacing w:after="0" w:line="275" w:lineRule="auto"/>
        <w:tabs>
          <w:tab w:leader="none" w:pos="155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in respect of the Securities or on account of any purchase, redemption or other acquisition of Securities by the Company or any Subsidiary (individually and collectively, a “Securities Payment”), and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ind w:right="20" w:firstLine="1304"/>
        <w:spacing w:after="0" w:line="253" w:lineRule="auto"/>
        <w:tabs>
          <w:tab w:leader="none" w:pos="155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 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 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16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Article Eight shall not be deemed a Proceeding for the purposes of this Section 1602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6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1603 </w:t>
      </w:r>
      <w:r>
        <w:rPr>
          <w:rFonts w:ascii="Arial" w:cs="Arial" w:eastAsia="Arial" w:hAnsi="Arial"/>
          <w:sz w:val="16"/>
          <w:szCs w:val="16"/>
          <w:u w:val="single" w:color="auto"/>
          <w:color w:val="auto"/>
        </w:rPr>
        <w:t>No Payment When Senior Indebtedness in Default</w:t>
      </w:r>
      <w:r>
        <w:rPr>
          <w:rFonts w:ascii="Arial" w:cs="Arial" w:eastAsia="Arial" w:hAnsi="Arial"/>
          <w:sz w:val="16"/>
          <w:szCs w:val="16"/>
          <w:color w:val="auto"/>
        </w:rPr>
        <w: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 (ii) 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 (A) the date on which such event of default shall have been cured or waived or (B) 180 days from the receipt of the Payment Blockage Notice. Upon 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ind w:right="20"/>
        <w:spacing w:after="0" w:line="293" w:lineRule="auto"/>
        <w:rPr>
          <w:sz w:val="20"/>
          <w:szCs w:val="20"/>
          <w:color w:val="auto"/>
        </w:rPr>
      </w:pPr>
      <w:r>
        <w:rPr>
          <w:rFonts w:ascii="Arial" w:cs="Arial" w:eastAsia="Arial" w:hAnsi="Arial"/>
          <w:sz w:val="16"/>
          <w:szCs w:val="16"/>
          <w:color w:val="auto"/>
        </w:rPr>
        <w:t>In the event that, notwithstanding the provisions of this Section 1603, payments are made by or on behalf of the Company in contravention of the provisions of this 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in accordance with the terms of such Senior Indebtedness, after giving effect to any concurrent payment or distribution to or for the holders of Senior Indebtedness.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not apply to any payment with respect to which Section 1602 would be applicable.</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u w:val="single" w:color="auto"/>
          <w:color w:val="auto"/>
        </w:rPr>
        <w:t>Reliance by Senior Indebtedness on Subordination Provisions</w:t>
      </w:r>
      <w:r>
        <w:rPr>
          <w:rFonts w:ascii="Arial" w:cs="Arial" w:eastAsia="Arial" w:hAnsi="Arial"/>
          <w:sz w:val="17"/>
          <w:szCs w:val="17"/>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1605 </w:t>
      </w:r>
      <w:r>
        <w:rPr>
          <w:rFonts w:ascii="Arial" w:cs="Arial" w:eastAsia="Arial" w:hAnsi="Arial"/>
          <w:sz w:val="17"/>
          <w:szCs w:val="17"/>
          <w:u w:val="single" w:color="auto"/>
          <w:color w:val="auto"/>
        </w:rPr>
        <w:t>Subrogation to Rights of Holders of Senior Indebtedness</w:t>
      </w:r>
      <w:r>
        <w:rPr>
          <w:rFonts w:ascii="Arial" w:cs="Arial" w:eastAsia="Arial" w:hAnsi="Arial"/>
          <w:sz w:val="17"/>
          <w:szCs w:val="17"/>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6" w:name="page197"/>
    <w:bookmarkEnd w:id="196"/>
    <w:p>
      <w:pPr>
        <w:ind w:right="80" w:firstLine="648"/>
        <w:spacing w:after="0" w:line="288" w:lineRule="auto"/>
        <w:rPr>
          <w:sz w:val="20"/>
          <w:szCs w:val="20"/>
          <w:color w:val="auto"/>
        </w:rPr>
      </w:pPr>
      <w:r>
        <w:rPr>
          <w:rFonts w:ascii="Arial" w:cs="Arial" w:eastAsia="Arial" w:hAnsi="Arial"/>
          <w:sz w:val="16"/>
          <w:szCs w:val="16"/>
          <w:color w:val="auto"/>
        </w:rPr>
        <w:t xml:space="preserve">SECTION 1606 </w:t>
      </w:r>
      <w:r>
        <w:rPr>
          <w:rFonts w:ascii="Arial" w:cs="Arial" w:eastAsia="Arial" w:hAnsi="Arial"/>
          <w:sz w:val="16"/>
          <w:szCs w:val="16"/>
          <w:u w:val="single" w:color="auto"/>
          <w:color w:val="auto"/>
        </w:rPr>
        <w:t>Provisions Solely to Define Relative Rights</w:t>
      </w:r>
      <w:r>
        <w:rPr>
          <w:rFonts w:ascii="Arial" w:cs="Arial" w:eastAsia="Arial" w:hAnsi="Arial"/>
          <w:sz w:val="16"/>
          <w:szCs w:val="16"/>
          <w:color w:val="auto"/>
        </w:rPr>
        <w:t>. The provisions of this Article Sixteen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 (a) 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16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1607 </w:t>
      </w:r>
      <w:r>
        <w:rPr>
          <w:rFonts w:ascii="Arial" w:cs="Arial" w:eastAsia="Arial" w:hAnsi="Arial"/>
          <w:sz w:val="17"/>
          <w:szCs w:val="17"/>
          <w:u w:val="single" w:color="auto"/>
          <w:color w:val="auto"/>
        </w:rPr>
        <w:t>Trustee to Effectuate Subordination</w:t>
      </w:r>
      <w:r>
        <w:rPr>
          <w:rFonts w:ascii="Arial" w:cs="Arial" w:eastAsia="Arial" w:hAnsi="Arial"/>
          <w:sz w:val="17"/>
          <w:szCs w:val="17"/>
          <w:color w:val="auto"/>
        </w:rPr>
        <w:t>.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182"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 xml:space="preserve">SECTION 1608 </w:t>
      </w:r>
      <w:r>
        <w:rPr>
          <w:rFonts w:ascii="Arial" w:cs="Arial" w:eastAsia="Arial" w:hAnsi="Arial"/>
          <w:sz w:val="16"/>
          <w:szCs w:val="16"/>
          <w:u w:val="single" w:color="auto"/>
          <w:color w:val="auto"/>
        </w:rPr>
        <w:t>No Waiver of Subordination Provisions</w:t>
      </w:r>
      <w:r>
        <w:rPr>
          <w:rFonts w:ascii="Arial" w:cs="Arial" w:eastAsia="Arial" w:hAnsi="Arial"/>
          <w:sz w:val="16"/>
          <w:szCs w:val="16"/>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any representative or trustee therefor, or by any non-compliance by the Company with the terms, provisions and covenants of this Indenture, regardless of any knowledge thereof any such holder may have or be otherwise charged with.</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Without in any way limiting the generality of the foregoing paragraph, the holders of Senior Indebtedness may, at any time from time to time, without the consent of or notice to the Trustee or 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w:t>
      </w:r>
    </w:p>
    <w:p>
      <w:pPr>
        <w:spacing w:after="0" w:line="187" w:lineRule="exact"/>
        <w:rPr>
          <w:sz w:val="20"/>
          <w:szCs w:val="20"/>
          <w:color w:val="auto"/>
        </w:rPr>
      </w:pPr>
    </w:p>
    <w:p>
      <w:pPr>
        <w:ind w:right="200" w:firstLine="1304"/>
        <w:spacing w:after="0" w:line="263" w:lineRule="auto"/>
        <w:tabs>
          <w:tab w:leader="none" w:pos="151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left="1560" w:hanging="256"/>
        <w:spacing w:after="0"/>
        <w:tabs>
          <w:tab w:leader="none" w:pos="15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sell, exchange, release or otherwise deal with any property pledged, mortgaged or otherwise securing Senior Indebtedness;</w:t>
      </w:r>
    </w:p>
    <w:p>
      <w:pPr>
        <w:spacing w:after="0" w:line="236" w:lineRule="exact"/>
        <w:rPr>
          <w:rFonts w:ascii="Arial" w:cs="Arial" w:eastAsia="Arial" w:hAnsi="Arial"/>
          <w:sz w:val="17"/>
          <w:szCs w:val="17"/>
          <w:color w:val="auto"/>
        </w:rPr>
      </w:pPr>
    </w:p>
    <w:p>
      <w:pPr>
        <w:ind w:right="420" w:firstLine="1304"/>
        <w:spacing w:after="0" w:line="277" w:lineRule="auto"/>
        <w:tabs>
          <w:tab w:leader="none" w:pos="161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release any Person liable in any manner for the collection of Senior Indebtedness and settle or compromise Senior Indebtedness (which, to the extent so settled and compromised, shall be deemed to have been paid in full for all purposes hereof);</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apply any amounts received to any liability of the Company owing to holders of Senior Indebtedness; and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exercise or refrain from exercising any rights against the Company and any other Person.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1609 </w:t>
      </w:r>
      <w:r>
        <w:rPr>
          <w:rFonts w:ascii="Arial" w:cs="Arial" w:eastAsia="Arial" w:hAnsi="Arial"/>
          <w:sz w:val="17"/>
          <w:szCs w:val="17"/>
          <w:u w:val="single" w:color="auto"/>
          <w:color w:val="auto"/>
        </w:rPr>
        <w:t>Notice to Trustee</w:t>
      </w:r>
      <w:r>
        <w:rPr>
          <w:rFonts w:ascii="Arial" w:cs="Arial" w:eastAsia="Arial" w:hAnsi="Arial"/>
          <w:sz w:val="17"/>
          <w:szCs w:val="17"/>
          <w:color w:val="auto"/>
        </w:rPr>
        <w:t>. The Company shall give prompt written notice to the Trustee of any default or event of default with respect to any Senior Indebtedness or of any fact known to the Company which would prohibit the making of any payment to or by the Trustee in respect of the Securities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1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8" w:name="page199"/>
    <w:bookmarkEnd w:id="198"/>
    <w:p>
      <w:pPr>
        <w:ind w:right="20" w:firstLine="648"/>
        <w:spacing w:after="0" w:line="254"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 Upon any payment or distribution of assets of the Company referred to in this Article Sixteen, the Trustee, subject to the provisions of 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u w:val="single" w:color="auto"/>
          <w:color w:val="auto"/>
        </w:rPr>
        <w:t>Trustee Not Fiduciary for Holders of Senior Indebtedness</w:t>
      </w:r>
      <w:r>
        <w:rPr>
          <w:rFonts w:ascii="Arial" w:cs="Arial" w:eastAsia="Arial" w:hAnsi="Arial"/>
          <w:sz w:val="18"/>
          <w:szCs w:val="18"/>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u w:val="single" w:color="auto"/>
          <w:color w:val="auto"/>
        </w:rPr>
        <w:t>Rights of Trustee as Holder of Senior Indebtedness; Preservation of Trustee’s Rights</w:t>
      </w:r>
      <w:r>
        <w:rPr>
          <w:rFonts w:ascii="Arial" w:cs="Arial" w:eastAsia="Arial" w:hAnsi="Arial"/>
          <w:sz w:val="18"/>
          <w:szCs w:val="18"/>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187"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Article Applicable to Paying Agents</w:t>
      </w:r>
      <w:r>
        <w:rPr>
          <w:rFonts w:ascii="Arial" w:cs="Arial" w:eastAsia="Arial" w:hAnsi="Arial"/>
          <w:sz w:val="18"/>
          <w:szCs w:val="18"/>
          <w:color w:val="auto"/>
        </w:rPr>
        <w:t>.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1612 shall not apply to the Company or any Affiliate of the Company if it or such Affiliate acts as Paying Agent.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SECURITIES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1701 </w:t>
      </w:r>
      <w:r>
        <w:rPr>
          <w:rFonts w:ascii="Arial" w:cs="Arial" w:eastAsia="Arial" w:hAnsi="Arial"/>
          <w:sz w:val="16"/>
          <w:szCs w:val="16"/>
          <w:u w:val="single" w:color="auto"/>
          <w:color w:val="auto"/>
        </w:rPr>
        <w:t>Applicability of Article; Conversion Privilege and Conversion Price</w:t>
      </w:r>
      <w:r>
        <w:rPr>
          <w:rFonts w:ascii="Arial" w:cs="Arial" w:eastAsia="Arial" w:hAnsi="Arial"/>
          <w:sz w:val="16"/>
          <w:szCs w:val="16"/>
          <w:color w:val="auto"/>
        </w:rPr>
        <w:t>. Securities of any series which are convertible shall be convertible in accordance with their terms and (except as otherwise specified as contemplated by Section 301 for Securities of any series) in accordance with this Article Seventeen. Subject to and upon compliance with the provisions of this Article Seventeen,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9" w:name="page200"/>
    <w:bookmarkEnd w:id="199"/>
    <w:p>
      <w:pPr>
        <w:ind w:right="100"/>
        <w:spacing w:after="0" w:line="277" w:lineRule="auto"/>
        <w:rPr>
          <w:sz w:val="20"/>
          <w:szCs w:val="20"/>
          <w:color w:val="auto"/>
        </w:rPr>
      </w:pPr>
      <w:r>
        <w:rPr>
          <w:rFonts w:ascii="Arial" w:cs="Arial" w:eastAsia="Arial" w:hAnsi="Arial"/>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1704.</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case the Company shall, by dividend or otherwise, declare or make a distribution on its Common Stock referred to in paragraph (4) of Section 1704, the Holder of each Security, upon the conversion thereof pursuant to this Article Seventeen subsequent to the close of business on the date fixed for the determination of stockholders entitled to receive such distribution and prior to the effectiveness of the Conversion Price adjustment in respect of such distribution pursuant to paragraph (4) of Section 1704, shall be entitled to receive for each share of Common Stock into which such Security is converted, the portion of the evidence of indebtedness, shares of Capital Stock or assets so distributed applicable to one share of Common Stock; provided, however,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6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1702 </w:t>
      </w:r>
      <w:r>
        <w:rPr>
          <w:rFonts w:ascii="Arial" w:cs="Arial" w:eastAsia="Arial" w:hAnsi="Arial"/>
          <w:sz w:val="16"/>
          <w:szCs w:val="16"/>
          <w:u w:val="single" w:color="auto"/>
          <w:color w:val="auto"/>
        </w:rPr>
        <w:t>Exercise of Conversion Privilege</w:t>
      </w:r>
      <w:r>
        <w:rPr>
          <w:rFonts w:ascii="Arial" w:cs="Arial" w:eastAsia="Arial" w:hAnsi="Arial"/>
          <w:sz w:val="16"/>
          <w:szCs w:val="16"/>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00" w:name="page201"/>
    <w:bookmarkEnd w:id="200"/>
    <w:p>
      <w:pPr>
        <w:ind w:right="120"/>
        <w:spacing w:after="0" w:line="255"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1703.</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1703 </w:t>
      </w:r>
      <w:r>
        <w:rPr>
          <w:rFonts w:ascii="Arial" w:cs="Arial" w:eastAsia="Arial" w:hAnsi="Arial"/>
          <w:sz w:val="16"/>
          <w:szCs w:val="16"/>
          <w:u w:val="single" w:color="auto"/>
          <w:color w:val="auto"/>
        </w:rPr>
        <w:t>Fractions of Shares</w:t>
      </w:r>
      <w:r>
        <w:rPr>
          <w:rFonts w:ascii="Arial" w:cs="Arial" w:eastAsia="Arial" w:hAnsi="Arial"/>
          <w:sz w:val="16"/>
          <w:szCs w:val="16"/>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225" w:lineRule="exact"/>
        <w:rPr>
          <w:sz w:val="20"/>
          <w:szCs w:val="20"/>
          <w:color w:val="auto"/>
        </w:rPr>
      </w:pPr>
    </w:p>
    <w:p>
      <w:pPr>
        <w:ind w:firstLine="1304"/>
        <w:spacing w:after="0" w:line="269" w:lineRule="auto"/>
        <w:tabs>
          <w:tab w:leader="none" w:pos="155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1" w:name="page202"/>
    <w:bookmarkEnd w:id="201"/>
    <w:p>
      <w:pPr>
        <w:ind w:left="-20" w:firstLine="1304"/>
        <w:spacing w:after="0" w:line="268" w:lineRule="auto"/>
        <w:tabs>
          <w:tab w:leader="none" w:pos="153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1704,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1704) of the Common Stock of the Company on the Rights Record Date.</w:t>
      </w:r>
    </w:p>
    <w:p>
      <w:pPr>
        <w:spacing w:after="0" w:line="179" w:lineRule="exact"/>
        <w:rPr>
          <w:rFonts w:ascii="Arial" w:cs="Arial" w:eastAsia="Arial" w:hAnsi="Arial"/>
          <w:sz w:val="17"/>
          <w:szCs w:val="17"/>
          <w:color w:val="auto"/>
        </w:rPr>
      </w:pPr>
    </w:p>
    <w:p>
      <w:pPr>
        <w:ind w:left="-20" w:right="20" w:firstLine="1304"/>
        <w:spacing w:after="0" w:line="273" w:lineRule="auto"/>
        <w:tabs>
          <w:tab w:leader="none" w:pos="153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77" w:lineRule="exact"/>
        <w:rPr>
          <w:rFonts w:ascii="Arial" w:cs="Arial" w:eastAsia="Arial" w:hAnsi="Arial"/>
          <w:sz w:val="17"/>
          <w:szCs w:val="17"/>
          <w:color w:val="auto"/>
        </w:rPr>
      </w:pPr>
    </w:p>
    <w:p>
      <w:pPr>
        <w:ind w:left="-20" w:firstLine="1304"/>
        <w:spacing w:after="0" w:line="286" w:lineRule="auto"/>
        <w:tabs>
          <w:tab w:leader="none" w:pos="153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1704 applies), the Conversion Price shall be reduced by multiplying such Conversion Price by a fraction of which the numerator shall be the current market price per share (determined as provided in paragraph (7) of this Section 1704)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w:t>
      </w:r>
    </w:p>
    <w:p>
      <w:pPr>
        <w:spacing w:after="0" w:line="170" w:lineRule="exact"/>
        <w:rPr>
          <w:rFonts w:ascii="Arial" w:cs="Arial" w:eastAsia="Arial" w:hAnsi="Arial"/>
          <w:sz w:val="16"/>
          <w:szCs w:val="16"/>
          <w:color w:val="auto"/>
        </w:rPr>
      </w:pPr>
    </w:p>
    <w:p>
      <w:pPr>
        <w:ind w:left="-20" w:right="20" w:firstLine="1304"/>
        <w:spacing w:after="0" w:line="263" w:lineRule="auto"/>
        <w:tabs>
          <w:tab w:leader="none" w:pos="153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of Section 1704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02" w:name="page203"/>
    <w:bookmarkEnd w:id="202"/>
    <w:p>
      <w:pPr>
        <w:ind w:right="160" w:firstLine="1304"/>
        <w:spacing w:after="0" w:line="275" w:lineRule="auto"/>
        <w:tabs>
          <w:tab w:leader="none" w:pos="1551"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Company may, but shall not be required to, make such reductions in the Conversion Price, in addition to those required by paragraphs (1), (2), (3), and (4) of this Section 1704,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76" w:lineRule="exact"/>
        <w:rPr>
          <w:rFonts w:ascii="Arial" w:cs="Arial" w:eastAsia="Arial" w:hAnsi="Arial"/>
          <w:sz w:val="17"/>
          <w:szCs w:val="17"/>
          <w:color w:val="auto"/>
        </w:rPr>
      </w:pPr>
    </w:p>
    <w:p>
      <w:pPr>
        <w:jc w:val="both"/>
        <w:ind w:right="100" w:firstLine="1304"/>
        <w:spacing w:after="0" w:line="291" w:lineRule="auto"/>
        <w:tabs>
          <w:tab w:leader="none" w:pos="155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w:t>
      </w:r>
    </w:p>
    <w:p>
      <w:pPr>
        <w:ind w:firstLine="8"/>
        <w:spacing w:after="0" w:line="268" w:lineRule="auto"/>
        <w:tabs>
          <w:tab w:leader="none" w:pos="26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are not exercisable and (iii) are also issued or distributed in respect of future issuances of Common Stock, in each case in clauses (i) through (iii) until the occurrence of a specified event or events (“Trigger Events”), shall for purposes of this Section 1704 not be deemed issued or distributed until the occurrence of the earliest Trigger Event. Each share of Common Stock issued upon conversion of Securities pursuant to this Article Seventeen shall be entitled to receive the appropriate number of Common Stock purchase rights (the “Rights”), if any, and the certificates representing the Common Stock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181" w:lineRule="exact"/>
        <w:rPr>
          <w:rFonts w:ascii="Arial" w:cs="Arial" w:eastAsia="Arial" w:hAnsi="Arial"/>
          <w:sz w:val="17"/>
          <w:szCs w:val="17"/>
          <w:color w:val="auto"/>
        </w:rPr>
      </w:pPr>
    </w:p>
    <w:p>
      <w:pPr>
        <w:ind w:right="100" w:firstLine="1304"/>
        <w:spacing w:after="0" w:line="263" w:lineRule="auto"/>
        <w:tabs>
          <w:tab w:leader="none" w:pos="155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For the purpose of any computation under paragraph (2), (4) or (5) of this Section 1704,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83" w:lineRule="exact"/>
        <w:rPr>
          <w:rFonts w:ascii="Arial" w:cs="Arial" w:eastAsia="Arial" w:hAnsi="Arial"/>
          <w:sz w:val="18"/>
          <w:szCs w:val="18"/>
          <w:color w:val="auto"/>
        </w:rPr>
      </w:pPr>
    </w:p>
    <w:p>
      <w:pPr>
        <w:ind w:right="20" w:firstLine="1304"/>
        <w:spacing w:after="0" w:line="259" w:lineRule="auto"/>
        <w:tabs>
          <w:tab w:leader="none" w:pos="155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No adjustment in the Conversion Price shall be required unless such adjustment would require an increase or decrease of at least 1% in the Conversion Price; provided, however, that any adjustments which by reason of this paragraph (8) are not required to be made shall be carried forward and taken into account in any subsequent adjustment. All calculations under this Article Seventeen shall be made to the nearest cent or to the nearest one-hundredth of a share of Common Stock, as the case may be.</w:t>
      </w:r>
    </w:p>
    <w:p>
      <w:pPr>
        <w:spacing w:after="0" w:line="186" w:lineRule="exact"/>
        <w:rPr>
          <w:rFonts w:ascii="Arial" w:cs="Arial" w:eastAsia="Arial" w:hAnsi="Arial"/>
          <w:sz w:val="18"/>
          <w:szCs w:val="18"/>
          <w:color w:val="auto"/>
        </w:rPr>
      </w:pPr>
    </w:p>
    <w:p>
      <w:pPr>
        <w:ind w:right="40" w:firstLine="1304"/>
        <w:spacing w:after="0" w:line="255" w:lineRule="auto"/>
        <w:tabs>
          <w:tab w:leader="none" w:pos="164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192" w:lineRule="exact"/>
        <w:rPr>
          <w:rFonts w:ascii="Arial" w:cs="Arial" w:eastAsia="Arial" w:hAnsi="Arial"/>
          <w:sz w:val="18"/>
          <w:szCs w:val="18"/>
          <w:color w:val="auto"/>
        </w:rPr>
      </w:pPr>
    </w:p>
    <w:p>
      <w:pPr>
        <w:jc w:val="both"/>
        <w:ind w:right="140" w:firstLine="1304"/>
        <w:spacing w:after="0" w:line="301" w:lineRule="auto"/>
        <w:tabs>
          <w:tab w:leader="none" w:pos="1634" w:val="left"/>
        </w:tabs>
        <w:numPr>
          <w:ilvl w:val="1"/>
          <w:numId w:val="167"/>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1704,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ind w:left="-20" w:right="20" w:firstLine="1304"/>
        <w:spacing w:after="0" w:line="269" w:lineRule="auto"/>
        <w:tabs>
          <w:tab w:leader="none" w:pos="162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the event that this Article Seventeen requires adjustments to the Conversion Price under more than one of paragraphs (1), (2), (3) or (4) of this Section 1704, and the record or effective dates for the transaction giving rise to such adjustments shall occur on the same date, then such adjustments shall be made by applying (to the extent they are applicable), first, the provisions of paragraph (3) of this Section 1704, second, the provisions of paragraph (1) of this Section 1704, third, the provisions of paragraph (4) of this Section 1704 and, fourth, the provisions of paragraph (2) of this Section 1704. Anything herein to the contrary notwithstanding, no single event shall require or result in duplicative adjustments in the Conversion Price pursuant to this Section 1704. After an adjustment to the Conversion Price under this Article Seventeen, any subsequent event requiring an adjustment under this Article Seventeen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Seventeen with respect to the Common Stock in this Article Seventeen.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u w:val="single" w:color="auto"/>
          <w:color w:val="auto"/>
        </w:rPr>
        <w:t>Notice of Adjustments of Conversion Price.</w:t>
      </w:r>
      <w:r>
        <w:rPr>
          <w:rFonts w:ascii="Arial" w:cs="Arial" w:eastAsia="Arial" w:hAnsi="Arial"/>
          <w:sz w:val="18"/>
          <w:szCs w:val="18"/>
          <w:color w:val="auto"/>
        </w:rPr>
        <w:t xml:space="preserve"> Whenever the Conversion Price is adjusted as herein provided:</w:t>
      </w:r>
    </w:p>
    <w:p>
      <w:pPr>
        <w:spacing w:after="0" w:line="225" w:lineRule="exact"/>
        <w:rPr>
          <w:sz w:val="20"/>
          <w:szCs w:val="20"/>
          <w:color w:val="auto"/>
        </w:rPr>
      </w:pPr>
    </w:p>
    <w:p>
      <w:pPr>
        <w:ind w:left="-20" w:right="100" w:firstLine="1304"/>
        <w:spacing w:after="0" w:line="259" w:lineRule="auto"/>
        <w:tabs>
          <w:tab w:leader="none" w:pos="153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86" w:lineRule="exact"/>
        <w:rPr>
          <w:rFonts w:ascii="Arial" w:cs="Arial" w:eastAsia="Arial" w:hAnsi="Arial"/>
          <w:sz w:val="18"/>
          <w:szCs w:val="18"/>
          <w:color w:val="auto"/>
        </w:rPr>
      </w:pPr>
    </w:p>
    <w:p>
      <w:pPr>
        <w:ind w:left="-20" w:firstLine="1304"/>
        <w:spacing w:after="0" w:line="263" w:lineRule="auto"/>
        <w:tabs>
          <w:tab w:leader="none" w:pos="153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1706 </w:t>
      </w:r>
      <w:r>
        <w:rPr>
          <w:rFonts w:ascii="Arial" w:cs="Arial" w:eastAsia="Arial" w:hAnsi="Arial"/>
          <w:sz w:val="18"/>
          <w:szCs w:val="18"/>
          <w:u w:val="single" w:color="auto"/>
          <w:color w:val="auto"/>
        </w:rPr>
        <w:t>Notice of Certain Corporate Action</w:t>
      </w:r>
      <w:r>
        <w:rPr>
          <w:rFonts w:ascii="Arial" w:cs="Arial" w:eastAsia="Arial" w:hAnsi="Arial"/>
          <w:sz w:val="18"/>
          <w:szCs w:val="18"/>
          <w:color w:val="auto"/>
        </w:rPr>
        <w:t>. In case:</w:t>
      </w:r>
    </w:p>
    <w:p>
      <w:pPr>
        <w:spacing w:after="0" w:line="225" w:lineRule="exact"/>
        <w:rPr>
          <w:sz w:val="20"/>
          <w:szCs w:val="20"/>
          <w:color w:val="auto"/>
        </w:rPr>
      </w:pPr>
    </w:p>
    <w:p>
      <w:pPr>
        <w:ind w:left="1540" w:hanging="256"/>
        <w:spacing w:after="0"/>
        <w:tabs>
          <w:tab w:leader="none" w:pos="1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 shall take any action that would require a Conversion Price adjustment pursuant to Section 1704 or Section 1711; or</w:t>
      </w:r>
    </w:p>
    <w:p>
      <w:pPr>
        <w:spacing w:after="0" w:line="248" w:lineRule="exact"/>
        <w:rPr>
          <w:rFonts w:ascii="Arial" w:cs="Arial" w:eastAsia="Arial" w:hAnsi="Arial"/>
          <w:sz w:val="16"/>
          <w:szCs w:val="16"/>
          <w:color w:val="auto"/>
        </w:rPr>
      </w:pPr>
    </w:p>
    <w:p>
      <w:pPr>
        <w:ind w:left="-20" w:right="160" w:firstLine="1304"/>
        <w:spacing w:after="0" w:line="263" w:lineRule="auto"/>
        <w:tabs>
          <w:tab w:leader="none" w:pos="153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83" w:lineRule="exact"/>
        <w:rPr>
          <w:rFonts w:ascii="Arial" w:cs="Arial" w:eastAsia="Arial" w:hAnsi="Arial"/>
          <w:sz w:val="18"/>
          <w:szCs w:val="18"/>
          <w:color w:val="auto"/>
        </w:rPr>
      </w:pPr>
    </w:p>
    <w:p>
      <w:pPr>
        <w:ind w:left="-20" w:firstLine="1304"/>
        <w:spacing w:after="0" w:line="270" w:lineRule="auto"/>
        <w:tabs>
          <w:tab w:leader="none" w:pos="153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04" w:name="page205"/>
    <w:bookmarkEnd w:id="204"/>
    <w:p>
      <w:pPr>
        <w:ind w:right="20" w:firstLine="648"/>
        <w:spacing w:after="0" w:line="263" w:lineRule="auto"/>
        <w:rPr>
          <w:sz w:val="20"/>
          <w:szCs w:val="20"/>
          <w:color w:val="auto"/>
        </w:rPr>
      </w:pPr>
      <w:r>
        <w:rPr>
          <w:rFonts w:ascii="Arial" w:cs="Arial" w:eastAsia="Arial" w:hAnsi="Arial"/>
          <w:sz w:val="18"/>
          <w:szCs w:val="18"/>
          <w:color w:val="auto"/>
        </w:rPr>
        <w:t xml:space="preserve">SECTION 1707 </w:t>
      </w:r>
      <w:r>
        <w:rPr>
          <w:rFonts w:ascii="Arial" w:cs="Arial" w:eastAsia="Arial" w:hAnsi="Arial"/>
          <w:sz w:val="18"/>
          <w:szCs w:val="18"/>
          <w:u w:val="single" w:color="auto"/>
          <w:color w:val="auto"/>
        </w:rPr>
        <w:t>Company to Reserve Common Stock</w:t>
      </w:r>
      <w:r>
        <w:rPr>
          <w:rFonts w:ascii="Arial" w:cs="Arial" w:eastAsia="Arial" w:hAnsi="Arial"/>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SECTION 1708 </w:t>
      </w:r>
      <w:r>
        <w:rPr>
          <w:rFonts w:ascii="Arial" w:cs="Arial" w:eastAsia="Arial" w:hAnsi="Arial"/>
          <w:sz w:val="17"/>
          <w:szCs w:val="17"/>
          <w:u w:val="single" w:color="auto"/>
          <w:color w:val="auto"/>
        </w:rPr>
        <w:t>Taxes on Conversion</w:t>
      </w:r>
      <w:r>
        <w:rPr>
          <w:rFonts w:ascii="Arial" w:cs="Arial" w:eastAsia="Arial" w:hAnsi="Arial"/>
          <w:sz w:val="17"/>
          <w:szCs w:val="17"/>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76"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 xml:space="preserve">SECTION 1709 </w:t>
      </w:r>
      <w:r>
        <w:rPr>
          <w:rFonts w:ascii="Arial" w:cs="Arial" w:eastAsia="Arial" w:hAnsi="Arial"/>
          <w:sz w:val="17"/>
          <w:szCs w:val="17"/>
          <w:u w:val="single" w:color="auto"/>
          <w:color w:val="auto"/>
        </w:rPr>
        <w:t>Covenants as to Common Stock</w:t>
      </w:r>
      <w:r>
        <w:rPr>
          <w:rFonts w:ascii="Arial" w:cs="Arial" w:eastAsia="Arial" w:hAnsi="Arial"/>
          <w:sz w:val="17"/>
          <w:szCs w:val="17"/>
          <w:color w:val="auto"/>
        </w:rPr>
        <w:t>. The Company covenants that all shares of Common Stock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6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1710 </w:t>
      </w:r>
      <w:r>
        <w:rPr>
          <w:rFonts w:ascii="Arial" w:cs="Arial" w:eastAsia="Arial" w:hAnsi="Arial"/>
          <w:sz w:val="18"/>
          <w:szCs w:val="18"/>
          <w:u w:val="single" w:color="auto"/>
          <w:color w:val="auto"/>
        </w:rPr>
        <w:t>Cancellation of Converted Securities</w:t>
      </w:r>
      <w:r>
        <w:rPr>
          <w:rFonts w:ascii="Arial" w:cs="Arial" w:eastAsia="Arial" w:hAnsi="Arial"/>
          <w:sz w:val="18"/>
          <w:szCs w:val="18"/>
          <w:color w:val="auto"/>
        </w:rPr>
        <w:t>. All Securities delivered for conversion shall be delivered to the Trustee to be cancelled by or at the direction of the Trustee, which shall dispose of the same as provided in Section 309.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1711 </w:t>
      </w:r>
      <w:r>
        <w:rPr>
          <w:rFonts w:ascii="Arial" w:cs="Arial" w:eastAsia="Arial" w:hAnsi="Arial"/>
          <w:sz w:val="16"/>
          <w:szCs w:val="16"/>
          <w:u w:val="single" w:color="auto"/>
          <w:color w:val="auto"/>
        </w:rPr>
        <w:t>Provisions in Case of Consolidation, Merger or Sale of Assets; Special Distributions</w:t>
      </w:r>
      <w:r>
        <w:rPr>
          <w:rFonts w:ascii="Arial" w:cs="Arial" w:eastAsia="Arial" w:hAnsi="Arial"/>
          <w:sz w:val="16"/>
          <w:szCs w:val="16"/>
          <w:color w:val="auto"/>
        </w:rPr>
        <w:t>. If any of the following shall occur, namely:</w:t>
      </w:r>
    </w:p>
    <w:p>
      <w:pPr>
        <w:spacing w:after="0" w:line="46" w:lineRule="exact"/>
        <w:rPr>
          <w:sz w:val="20"/>
          <w:szCs w:val="20"/>
          <w:color w:val="auto"/>
        </w:rPr>
      </w:pPr>
    </w:p>
    <w:p>
      <w:pPr>
        <w:ind w:firstLine="8"/>
        <w:spacing w:after="0" w:line="285" w:lineRule="auto"/>
        <w:tabs>
          <w:tab w:leader="none" w:pos="21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1701,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ind w:right="100" w:firstLine="1304"/>
        <w:spacing w:after="0" w:line="263" w:lineRule="auto"/>
        <w:tabs>
          <w:tab w:leader="none" w:pos="155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83" w:lineRule="exact"/>
        <w:rPr>
          <w:rFonts w:ascii="Arial" w:cs="Arial" w:eastAsia="Arial" w:hAnsi="Arial"/>
          <w:sz w:val="18"/>
          <w:szCs w:val="18"/>
          <w:color w:val="auto"/>
        </w:rPr>
      </w:pPr>
    </w:p>
    <w:p>
      <w:pPr>
        <w:ind w:right="100" w:firstLine="1304"/>
        <w:spacing w:after="0" w:line="296" w:lineRule="auto"/>
        <w:tabs>
          <w:tab w:leader="none" w:pos="155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1711 the kind and amount of securities, cash and other property receivable upon such consolidation, merger, sale, transfer or lease shall be deemed to be the kind and amount so receivable per share by a plurality of such shares of Common Stock).</w:t>
      </w:r>
    </w:p>
    <w:p>
      <w:pPr>
        <w:spacing w:after="0" w:line="16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event the Company shall execute a supplemental indenture pursuant to this Section 1711,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the Company makes a distribution to all holders of its Common Stock that constitutes an Unadjusted Distribution pursuant to the last sentence of paragraph (4) of Section 1704,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1712 </w:t>
      </w:r>
      <w:r>
        <w:rPr>
          <w:rFonts w:ascii="Arial" w:cs="Arial" w:eastAsia="Arial" w:hAnsi="Arial"/>
          <w:sz w:val="18"/>
          <w:szCs w:val="18"/>
          <w:u w:val="single" w:color="auto"/>
          <w:color w:val="auto"/>
        </w:rPr>
        <w:t>Trustee Adjustment Disclaimer; Company Determination Final</w:t>
      </w:r>
      <w:r>
        <w:rPr>
          <w:rFonts w:ascii="Arial" w:cs="Arial" w:eastAsia="Arial" w:hAnsi="Arial"/>
          <w:sz w:val="18"/>
          <w:szCs w:val="18"/>
          <w:color w:val="auto"/>
        </w:rPr>
        <w:t>.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6" w:name="page207"/>
    <w:bookmarkEnd w:id="206"/>
    <w:p>
      <w:pPr>
        <w:ind w:firstLine="648"/>
        <w:spacing w:after="0" w:line="259" w:lineRule="auto"/>
        <w:rPr>
          <w:sz w:val="20"/>
          <w:szCs w:val="20"/>
          <w:color w:val="auto"/>
        </w:rPr>
      </w:pPr>
      <w:r>
        <w:rPr>
          <w:rFonts w:ascii="Arial" w:cs="Arial" w:eastAsia="Arial" w:hAnsi="Arial"/>
          <w:sz w:val="18"/>
          <w:szCs w:val="18"/>
          <w:color w:val="auto"/>
        </w:rPr>
        <w:t xml:space="preserve">SECTION 1713 </w:t>
      </w:r>
      <w:r>
        <w:rPr>
          <w:rFonts w:ascii="Arial" w:cs="Arial" w:eastAsia="Arial" w:hAnsi="Arial"/>
          <w:sz w:val="18"/>
          <w:szCs w:val="18"/>
          <w:u w:val="single" w:color="auto"/>
          <w:color w:val="auto"/>
        </w:rPr>
        <w:t>When No Adjustment Required</w:t>
      </w:r>
      <w:r>
        <w:rPr>
          <w:rFonts w:ascii="Arial" w:cs="Arial" w:eastAsia="Arial" w:hAnsi="Arial"/>
          <w:sz w:val="18"/>
          <w:szCs w:val="18"/>
          <w:color w:val="auto"/>
        </w:rPr>
        <w:t>. Except as expressly set forth in Section 1704,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7" w:lineRule="exact"/>
        <w:rPr>
          <w:sz w:val="20"/>
          <w:szCs w:val="20"/>
          <w:color w:val="auto"/>
        </w:rPr>
      </w:pPr>
    </w:p>
    <w:p>
      <w:pPr>
        <w:ind w:right="280" w:firstLine="1304"/>
        <w:spacing w:after="0" w:line="259" w:lineRule="auto"/>
        <w:tabs>
          <w:tab w:leader="none" w:pos="155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SECTION 1714 </w:t>
      </w:r>
      <w:r>
        <w:rPr>
          <w:rFonts w:ascii="Arial" w:cs="Arial" w:eastAsia="Arial" w:hAnsi="Arial"/>
          <w:sz w:val="18"/>
          <w:szCs w:val="18"/>
          <w:u w:val="single" w:color="auto"/>
          <w:color w:val="auto"/>
        </w:rPr>
        <w:t>Equivalent Adjustments</w:t>
      </w:r>
      <w:r>
        <w:rPr>
          <w:rFonts w:ascii="Arial" w:cs="Arial" w:eastAsia="Arial" w:hAnsi="Arial"/>
          <w:sz w:val="18"/>
          <w:szCs w:val="18"/>
          <w:color w:val="auto"/>
        </w:rPr>
        <w:t>. In the event that, as a result of an adjustment made pursuant to Section 1704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Seventeen.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7" w:name="page208"/>
    <w:bookmarkEnd w:id="207"/>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[NAME OF TRUSTEE],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REDEEMABLE OR NON-REDEEMABLE SUBORDINATED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[Face of Security]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16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p>
    <w:p>
      <w:pPr>
        <w:spacing w:after="0" w:line="18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[If this Security is an Original Issue Discount Security, insert -- FOR PURPOSES OF SECTION 1273 and 1275 OF THE UNITED STATES INTERNAL REVENUE CODE, THE AMOUNT OF ORIGINAL ISSUE DISCOUNT ON THIS SECURITY IS ________% OF ITS PRINCIPAL AMOUNT, THE</w:t>
      </w:r>
    </w:p>
    <w:p>
      <w:pPr>
        <w:spacing w:after="0"/>
        <w:rPr>
          <w:sz w:val="20"/>
          <w:szCs w:val="20"/>
          <w:color w:val="auto"/>
        </w:rPr>
      </w:pPr>
      <w:r>
        <w:rPr>
          <w:rFonts w:ascii="Arial" w:cs="Arial" w:eastAsia="Arial" w:hAnsi="Arial"/>
          <w:sz w:val="17"/>
          <w:szCs w:val="17"/>
          <w:color w:val="auto"/>
        </w:rPr>
        <w:t>ISSUE DATE IS __________, 20 , AND THE YIELD TO MATURITY IS ________%. THE METHOD USED TO DETERMINE THE AMOUNT OF</w:t>
      </w:r>
    </w:p>
    <w:p>
      <w:pPr>
        <w:spacing w:after="0" w:line="2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ORIGINAL ISSUE DISCOUNT APPLICABLE TO THE SHORT ACCRUAL PERIOD OF , 20 TO , 20 , IS % OF THE PRINCIPAL AMOUNT OF THIS SECURITY.]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[Designation of Series]</w:t>
      </w:r>
    </w:p>
    <w:p>
      <w:pPr>
        <w:spacing w:after="0" w:line="225"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No.____________________</w:t>
      </w:r>
      <w:r>
        <w:rPr>
          <w:sz w:val="20"/>
          <w:szCs w:val="20"/>
          <w:color w:val="auto"/>
        </w:rPr>
        <w:tab/>
      </w:r>
      <w:r>
        <w:rPr>
          <w:rFonts w:ascii="Arial" w:cs="Arial" w:eastAsia="Arial" w:hAnsi="Arial"/>
          <w:sz w:val="16"/>
          <w:szCs w:val="16"/>
          <w:color w:val="auto"/>
        </w:rPr>
        <w:t>$ 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OPTIMIZERX CORPORATION, a Nevada corporation (herein referred to as the “Company,” which term includes any successor corporation under the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Arial" w:cs="Arial" w:eastAsia="Arial" w:hAnsi="Arial"/>
                <w:sz w:val="18"/>
                <w:szCs w:val="18"/>
                <w:color w:val="auto"/>
                <w:w w:val="93"/>
              </w:rPr>
              <w:t>Indenture referred to on the reverse hereof), for value received, hereby promises to pay to</w:t>
            </w:r>
          </w:p>
        </w:tc>
        <w:tc>
          <w:tcPr>
            <w:tcW w:w="3400" w:type="dxa"/>
            <w:vAlign w:val="bottom"/>
          </w:tcPr>
          <w:p>
            <w:pPr>
              <w:ind w:left="220"/>
              <w:spacing w:after="0"/>
              <w:rPr>
                <w:sz w:val="20"/>
                <w:szCs w:val="20"/>
                <w:color w:val="auto"/>
              </w:rPr>
            </w:pPr>
            <w:r>
              <w:rPr>
                <w:rFonts w:ascii="Arial" w:cs="Arial" w:eastAsia="Arial" w:hAnsi="Arial"/>
                <w:sz w:val="18"/>
                <w:szCs w:val="18"/>
                <w:color w:val="auto"/>
                <w:w w:val="96"/>
              </w:rPr>
              <w:t>or registered assigns the principal sum of</w:t>
            </w:r>
          </w:p>
        </w:tc>
        <w:tc>
          <w:tcPr>
            <w:tcW w:w="1160" w:type="dxa"/>
            <w:vAlign w:val="bottom"/>
          </w:tcPr>
          <w:p>
            <w:pPr>
              <w:ind w:left="240"/>
              <w:spacing w:after="0"/>
              <w:rPr>
                <w:sz w:val="20"/>
                <w:szCs w:val="20"/>
                <w:color w:val="auto"/>
              </w:rPr>
            </w:pPr>
            <w:r>
              <w:rPr>
                <w:rFonts w:ascii="Arial" w:cs="Arial" w:eastAsia="Arial" w:hAnsi="Arial"/>
                <w:sz w:val="18"/>
                <w:szCs w:val="18"/>
                <w:color w:val="auto"/>
              </w:rPr>
              <w:t>Dollars</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on</w:t>
            </w:r>
          </w:p>
        </w:tc>
        <w:tc>
          <w:tcPr>
            <w:tcW w:w="10820" w:type="dxa"/>
            <w:vAlign w:val="bottom"/>
            <w:gridSpan w:val="3"/>
          </w:tcPr>
          <w:p>
            <w:pPr>
              <w:ind w:left="220"/>
              <w:spacing w:after="0"/>
              <w:rPr>
                <w:sz w:val="20"/>
                <w:szCs w:val="20"/>
                <w:color w:val="auto"/>
              </w:rPr>
            </w:pPr>
            <w:r>
              <w:rPr>
                <w:rFonts w:ascii="Arial" w:cs="Arial" w:eastAsia="Arial" w:hAnsi="Arial"/>
                <w:sz w:val="18"/>
                <w:szCs w:val="18"/>
                <w:color w:val="auto"/>
                <w:w w:val="93"/>
              </w:rPr>
              <w:t>(the “Stated Maturity Date”) [or insert date fixed for earlier redemption (the “Redemption Date,” and together with the Stated Maturity Date with</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respect to principal repayable on such date, the “Maturity Date.”)]</w:t>
            </w:r>
          </w:p>
        </w:tc>
        <w:tc>
          <w:tcPr>
            <w:tcW w:w="3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55"/>
        </w:trPr>
        <w:tc>
          <w:tcPr>
            <w:tcW w:w="42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82</w:t>
            </w:r>
          </w:p>
        </w:tc>
        <w:tc>
          <w:tcPr>
            <w:tcW w:w="3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color w:val="auto"/>
        </w:rPr>
        <w:t>[If the Security is to bear interest prior to Maturity, insert -- and to pay interest thereon from______________ or from the most recent Interest Payment</w:t>
      </w:r>
    </w:p>
    <w:p>
      <w:pPr>
        <w:spacing w:after="0" w:line="46"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Date to which interest has been paid or duly provided for, semi-annually on and in each year (each, an “Interest Payment Date”), commencing __________, at the rate of % per annum, until the principal hereof is paid or duly provided for. The interest so payable, and punctually paid or duly</w:t>
      </w:r>
    </w:p>
    <w:p>
      <w:pPr>
        <w:ind w:right="20"/>
        <w:spacing w:after="0" w:line="281" w:lineRule="auto"/>
        <w:rPr>
          <w:sz w:val="20"/>
          <w:szCs w:val="20"/>
          <w:color w:val="auto"/>
        </w:rPr>
      </w:pPr>
      <w:r>
        <w:rPr>
          <w:rFonts w:ascii="Arial" w:cs="Arial" w:eastAsia="Arial" w:hAnsi="Arial"/>
          <w:sz w:val="16"/>
          <w:szCs w:val="16"/>
          <w:color w:val="auto"/>
        </w:rPr>
        <w:t>provided for, on any Interest Payment Date will, as provided in such Indenture, be paid to the Holder in whose name this Security (or one or more Predecessor Securities) is registered at the close of business on the Regular Record Date for such interest, which shall be the or_________(whether or not a</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Business Day),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the Security is not to bear interest prior to Maturity, insert -- The principal of this Security shall not bear interest except in the case of a default in payment of principal upon acceleration, upon redemption or at the [Stated] Maturity Date and in such case the overdue principal of this Security shall bear</w:t>
      </w:r>
    </w:p>
    <w:p>
      <w:pPr>
        <w:ind w:right="180"/>
        <w:spacing w:after="0" w:line="281" w:lineRule="auto"/>
        <w:rPr>
          <w:sz w:val="20"/>
          <w:szCs w:val="20"/>
          <w:color w:val="auto"/>
        </w:rPr>
      </w:pPr>
      <w:r>
        <w:rPr>
          <w:rFonts w:ascii="Arial" w:cs="Arial" w:eastAsia="Arial" w:hAnsi="Arial"/>
          <w:sz w:val="16"/>
          <w:szCs w:val="16"/>
          <w:color w:val="auto"/>
        </w:rPr>
        <w:t>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______% per annum (to the extent that</w:t>
      </w:r>
    </w:p>
    <w:p>
      <w:pPr>
        <w:spacing w:after="0" w:line="2"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payment of such interest shall be legally enforceable), which shall accrue from the date of such demand for payment to the date payment of such interest has been made or duly provided for, and such interest shall also be payable on demand.]</w:t>
      </w:r>
    </w:p>
    <w:p>
      <w:pPr>
        <w:spacing w:after="0" w:line="1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________, in such coin or currency of the United States of America as at the time of payment is legal tender for the payment of public and private debts.</w:t>
      </w:r>
    </w:p>
    <w:p>
      <w:pPr>
        <w:spacing w:after="0" w:line="18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spacing w:after="0"/>
        <w:tabs>
          <w:tab w:leader="none" w:pos="1120" w:val="left"/>
        </w:tabs>
        <w:rPr>
          <w:sz w:val="20"/>
          <w:szCs w:val="20"/>
          <w:color w:val="auto"/>
        </w:rPr>
      </w:pPr>
      <w:r>
        <w:rPr>
          <w:rFonts w:ascii="Arial" w:cs="Arial" w:eastAsia="Arial" w:hAnsi="Arial"/>
          <w:sz w:val="18"/>
          <w:szCs w:val="18"/>
          <w:color w:val="auto"/>
        </w:rPr>
        <w:t>including</w:t>
      </w:r>
      <w:r>
        <w:rPr>
          <w:sz w:val="20"/>
          <w:szCs w:val="20"/>
          <w:color w:val="auto"/>
        </w:rPr>
        <w:tab/>
      </w:r>
      <w:r>
        <w:rPr>
          <w:rFonts w:ascii="Arial" w:cs="Arial" w:eastAsia="Arial" w:hAnsi="Arial"/>
          <w:sz w:val="18"/>
          <w:szCs w:val="18"/>
          <w:color w:val="auto"/>
        </w:rPr>
        <w:t>, if no interest has been paid on this Security) to but excluding such Interest</w:t>
      </w:r>
    </w:p>
    <w:p>
      <w:pPr>
        <w:spacing w:after="0" w:line="2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this Security is a Global Security, insert -- All payments of principal, premium or Make-Whole Amount, if any, and interest in respect of this Security will be made by the Company in immediately available funds.]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0" w:name="page211"/>
    <w:bookmarkEnd w:id="210"/>
    <w:p>
      <w:pPr>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 under its facsimile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8" w:right="519" w:bottom="1440" w:gutter="0" w:footer="0" w:header="0"/>
        </w:sectPr>
      </w:pPr>
    </w:p>
    <w:bookmarkStart w:id="211" w:name="page212"/>
    <w:bookmarkEnd w:id="211"/>
    <w:p>
      <w:pPr>
        <w:jc w:val="center"/>
        <w:ind w:right="-7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 series under an Indenture, dated as of ____________, 20___ (herein called the “Indenture”) between the Company and [</w:t>
      </w:r>
      <w:r>
        <w:rPr>
          <w:rFonts w:ascii="Arial" w:cs="Arial" w:eastAsia="Arial" w:hAnsi="Arial"/>
          <w:sz w:val="16"/>
          <w:szCs w:val="16"/>
          <w:u w:val="single" w:color="auto"/>
          <w:color w:val="auto"/>
        </w:rPr>
        <w:t>Name of Trustee</w:t>
      </w:r>
      <w:r>
        <w:rPr>
          <w:rFonts w:ascii="Arial" w:cs="Arial" w:eastAsia="Arial" w:hAnsi="Arial"/>
          <w:sz w:val="16"/>
          <w:szCs w:val="16"/>
          <w:color w:val="auto"/>
        </w:rPr>
        <w:t>], as Trustee (herein</w:t>
      </w:r>
    </w:p>
    <w:p>
      <w:pPr>
        <w:spacing w:after="0" w:line="281" w:lineRule="auto"/>
        <w:rPr>
          <w:sz w:val="20"/>
          <w:szCs w:val="20"/>
          <w:color w:val="auto"/>
        </w:rPr>
      </w:pPr>
      <w:r>
        <w:rPr>
          <w:rFonts w:ascii="Arial" w:cs="Arial" w:eastAsia="Arial" w:hAnsi="Arial"/>
          <w:sz w:val="16"/>
          <w:szCs w:val="16"/>
          <w:color w:val="auto"/>
        </w:rPr>
        <w:t>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[if applicable, insert -- and the aggregate principal amount of the Securities to be issued under such series is limited to $_______ (except for Securities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authenticated and delivered upon transfer of, or in exchange for, or in lieu of other Securities).] All terms used in this Security which are defined in the Indenture shall have the meanings assigned to them in the Indenture.</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applicable, insert -- The Securities may not be redeemed prior to the Stated 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applicable, insert -- The Securities are subject to redemption [ (l) (If applicable, insert – on _______________ in any year commencing with the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____and ending with the year______ through operation of the sinking fund for this series at a Redemption Price equal to 100% of the principal amount,</w:t>
      </w:r>
    </w:p>
    <w:p>
      <w:pPr>
        <w:spacing w:after="0" w:line="3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and (2) ] [If applicable, insert -- at any time [on or after ], as a whole or in part, at the election of the Company, at the following Redemption Prices (expressed as percentages of the principal amount):</w:t>
      </w:r>
    </w:p>
    <w:p>
      <w:pPr>
        <w:sectPr>
          <w:pgSz w:w="11900" w:h="16838" w:orient="portrait"/>
          <w:cols w:equalWidth="0" w:num="1">
            <w:col w:w="11180"/>
          </w:cols>
          <w:pgMar w:left="320" w:top="908" w:right="39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redeemed on or before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and if redeemed during the 12-month period beginning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of the years indicated at the Redemption Prices</w:t>
      </w:r>
    </w:p>
    <w:p>
      <w:pPr>
        <w:spacing w:after="0" w:line="45" w:lineRule="exact"/>
        <w:rPr>
          <w:sz w:val="20"/>
          <w:szCs w:val="20"/>
          <w:color w:val="auto"/>
        </w:rPr>
      </w:pPr>
    </w:p>
    <w:p>
      <w:pPr>
        <w:sectPr>
          <w:pgSz w:w="11900" w:h="16838" w:orient="portrait"/>
          <w:cols w:equalWidth="0" w:num="4">
            <w:col w:w="1800" w:space="440"/>
            <w:col w:w="60" w:space="440"/>
            <w:col w:w="4140" w:space="460"/>
            <w:col w:w="3840"/>
          </w:cols>
          <w:pgMar w:left="320" w:top="908" w:right="399" w:bottom="1440" w:gutter="0" w:footer="0" w:header="0"/>
          <w:type w:val="continuous"/>
        </w:sectPr>
      </w:pPr>
    </w:p>
    <w:p>
      <w:pPr>
        <w:spacing w:after="0"/>
        <w:rPr>
          <w:sz w:val="20"/>
          <w:szCs w:val="20"/>
          <w:color w:val="auto"/>
        </w:rPr>
      </w:pPr>
      <w:r>
        <w:rPr>
          <w:rFonts w:ascii="Arial" w:cs="Arial" w:eastAsia="Arial" w:hAnsi="Arial"/>
          <w:sz w:val="18"/>
          <w:szCs w:val="18"/>
          <w:color w:val="auto"/>
        </w:rPr>
        <w:t>indicated below.</w:t>
      </w:r>
    </w:p>
    <w:p>
      <w:pPr>
        <w:spacing w:after="0" w:line="211" w:lineRule="exact"/>
        <w:rPr>
          <w:sz w:val="20"/>
          <w:szCs w:val="20"/>
          <w:color w:val="auto"/>
        </w:rPr>
      </w:pPr>
    </w:p>
    <w:p>
      <w:pPr>
        <w:spacing w:after="0"/>
        <w:tabs>
          <w:tab w:leader="none" w:pos="760" w:val="left"/>
          <w:tab w:leader="none" w:pos="2500" w:val="left"/>
          <w:tab w:leader="none" w:pos="3280" w:val="left"/>
          <w:tab w:leader="none" w:pos="8320" w:val="left"/>
        </w:tabs>
        <w:rPr>
          <w:sz w:val="20"/>
          <w:szCs w:val="20"/>
          <w:color w:val="auto"/>
        </w:rPr>
      </w:pPr>
      <w:r>
        <w:rPr>
          <w:rFonts w:ascii="Arial" w:cs="Arial" w:eastAsia="Arial" w:hAnsi="Arial"/>
          <w:sz w:val="18"/>
          <w:szCs w:val="18"/>
          <w:color w:val="auto"/>
        </w:rPr>
        <w:t>Year</w:t>
      </w:r>
      <w:r>
        <w:rPr>
          <w:sz w:val="20"/>
          <w:szCs w:val="20"/>
          <w:color w:val="auto"/>
        </w:rPr>
        <w:tab/>
      </w:r>
      <w:r>
        <w:rPr>
          <w:rFonts w:ascii="Arial" w:cs="Arial" w:eastAsia="Arial" w:hAnsi="Arial"/>
          <w:sz w:val="18"/>
          <w:szCs w:val="18"/>
          <w:color w:val="auto"/>
        </w:rPr>
        <w:t>Redemption Price</w:t>
      </w:r>
      <w:r>
        <w:rPr>
          <w:sz w:val="20"/>
          <w:szCs w:val="20"/>
          <w:color w:val="auto"/>
        </w:rPr>
        <w:tab/>
      </w:r>
      <w:r>
        <w:rPr>
          <w:rFonts w:ascii="Arial" w:cs="Arial" w:eastAsia="Arial" w:hAnsi="Arial"/>
          <w:sz w:val="18"/>
          <w:szCs w:val="18"/>
          <w:color w:val="auto"/>
        </w:rPr>
        <w:t>Year</w:t>
      </w:r>
      <w:r>
        <w:rPr>
          <w:sz w:val="20"/>
          <w:szCs w:val="20"/>
          <w:color w:val="auto"/>
        </w:rPr>
        <w:tab/>
      </w:r>
      <w:r>
        <w:rPr>
          <w:rFonts w:ascii="Arial" w:cs="Arial" w:eastAsia="Arial" w:hAnsi="Arial"/>
          <w:sz w:val="18"/>
          <w:szCs w:val="18"/>
          <w:color w:val="auto"/>
        </w:rPr>
        <w:t>Redemption Price and thereafter at a Redemption Price equal to</w:t>
      </w:r>
      <w:r>
        <w:rPr>
          <w:sz w:val="20"/>
          <w:szCs w:val="20"/>
          <w:color w:val="auto"/>
        </w:rPr>
        <w:tab/>
      </w:r>
      <w:r>
        <w:rPr>
          <w:rFonts w:ascii="Arial" w:cs="Arial" w:eastAsia="Arial" w:hAnsi="Arial"/>
          <w:sz w:val="16"/>
          <w:szCs w:val="16"/>
          <w:color w:val="auto"/>
        </w:rPr>
        <w:t>% of the principal amount, together in</w:t>
      </w:r>
    </w:p>
    <w:p>
      <w:pPr>
        <w:sectPr>
          <w:pgSz w:w="11900" w:h="16838" w:orient="portrait"/>
          <w:cols w:equalWidth="0" w:num="1">
            <w:col w:w="11180"/>
          </w:cols>
          <w:pgMar w:left="320" w:top="908" w:right="399" w:bottom="1440" w:gutter="0" w:footer="0" w:header="0"/>
          <w:type w:val="continuous"/>
        </w:sectPr>
      </w:pP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case of any such redemption [If applicable, insert -- (whether through operation of the sinking fund or otherwise)] with accrued interest to the Redemption Date; provided, however,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93" w:lineRule="exact"/>
        <w:rPr>
          <w:sz w:val="20"/>
          <w:szCs w:val="20"/>
          <w:color w:val="auto"/>
        </w:rPr>
      </w:pPr>
    </w:p>
    <w:p>
      <w:pPr>
        <w:spacing w:after="0"/>
        <w:tabs>
          <w:tab w:leader="none" w:pos="8740" w:val="left"/>
        </w:tabs>
        <w:rPr>
          <w:sz w:val="20"/>
          <w:szCs w:val="20"/>
          <w:color w:val="auto"/>
        </w:rPr>
      </w:pPr>
      <w:r>
        <w:rPr>
          <w:rFonts w:ascii="Arial" w:cs="Arial" w:eastAsia="Arial" w:hAnsi="Arial"/>
          <w:sz w:val="18"/>
          <w:szCs w:val="18"/>
          <w:color w:val="auto"/>
        </w:rPr>
        <w:t>[If applicable, insert -- The Securities are subject to redemption (1) on _____in any year commencing with the year</w:t>
      </w:r>
      <w:r>
        <w:rPr>
          <w:sz w:val="20"/>
          <w:szCs w:val="20"/>
          <w:color w:val="auto"/>
        </w:rPr>
        <w:tab/>
      </w:r>
      <w:r>
        <w:rPr>
          <w:rFonts w:ascii="Arial" w:cs="Arial" w:eastAsia="Arial" w:hAnsi="Arial"/>
          <w:sz w:val="16"/>
          <w:szCs w:val="16"/>
          <w:color w:val="auto"/>
        </w:rPr>
        <w:t>and ending with the year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_____through operation of the sinking fund for this series at the Redemption Prices for redemption through operation of the sinking fund (expressed as</w:t>
      </w:r>
    </w:p>
    <w:p>
      <w:pPr>
        <w:spacing w:after="0" w:line="32"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percentages of the principal amount) set forth in the table below, and (2) at any time [on or after], as a whole or in part, at the election of the Company, at the Redemption Prices for redemption otherwise than through operation of the sinking fund (expressed as percentages of the principal amount) set forth in the table below: If redeemed during the 12-month period beginning __________of the years indicated, Redemption Price for Redemption Price for</w:t>
      </w:r>
    </w:p>
    <w:p>
      <w:pPr>
        <w:spacing w:after="0" w:line="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_______Redemption Otherwise Than Redemption Through ______Through Operation of the Year Operation of the Sinking Fund Sinking Fund and thereafter at a Redemption Price equal to % of the principal amount, together in the case of any such redemption (whether through operation of the</w:t>
      </w:r>
    </w:p>
    <w:p>
      <w:pPr>
        <w:ind w:right="20"/>
        <w:spacing w:after="0" w:line="255" w:lineRule="auto"/>
        <w:rPr>
          <w:sz w:val="20"/>
          <w:szCs w:val="20"/>
          <w:color w:val="auto"/>
        </w:rPr>
      </w:pPr>
      <w:r>
        <w:rPr>
          <w:rFonts w:ascii="Arial" w:cs="Arial" w:eastAsia="Arial" w:hAnsi="Arial"/>
          <w:sz w:val="18"/>
          <w:szCs w:val="18"/>
          <w:color w:val="auto"/>
        </w:rPr>
        <w:t>sinking fund or otherwise) with accrued interest to the Redemption Date; provided, however,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type w:val="continuous"/>
        </w:sectPr>
      </w:pPr>
    </w:p>
    <w:bookmarkStart w:id="212" w:name="page213"/>
    <w:bookmarkEnd w:id="212"/>
    <w:p>
      <w:pPr>
        <w:ind w:right="100"/>
        <w:spacing w:after="0" w:line="291" w:lineRule="auto"/>
        <w:rPr>
          <w:sz w:val="20"/>
          <w:szCs w:val="20"/>
          <w:color w:val="auto"/>
        </w:rPr>
      </w:pPr>
      <w:r>
        <w:rPr>
          <w:rFonts w:ascii="Arial" w:cs="Arial" w:eastAsia="Arial" w:hAnsi="Arial"/>
          <w:sz w:val="16"/>
          <w:szCs w:val="16"/>
          <w:color w:val="auto"/>
        </w:rPr>
        <w:t>[If applicable, insert -- Notwithstanding the foregoing, the Company may not, prior to , redeem any Securities as contemplated by [Clause (2) of] the preceding paragraph as a part of, or in anticipation of, any refunding operation by the application, directly or indirectly, of moneys borrowed having an</w:t>
      </w:r>
    </w:p>
    <w:p>
      <w:pPr>
        <w:spacing w:after="0"/>
        <w:tabs>
          <w:tab w:leader="none" w:pos="8340" w:val="left"/>
        </w:tabs>
        <w:rPr>
          <w:sz w:val="20"/>
          <w:szCs w:val="20"/>
          <w:color w:val="auto"/>
        </w:rPr>
      </w:pPr>
      <w:r>
        <w:rPr>
          <w:rFonts w:ascii="Arial" w:cs="Arial" w:eastAsia="Arial" w:hAnsi="Arial"/>
          <w:sz w:val="18"/>
          <w:szCs w:val="18"/>
          <w:color w:val="auto"/>
        </w:rPr>
        <w:t>interest cost to the Company (calculated in accordance with generally accepted financial practice) of less than</w:t>
      </w:r>
      <w:r>
        <w:rPr>
          <w:sz w:val="20"/>
          <w:szCs w:val="20"/>
          <w:color w:val="auto"/>
        </w:rPr>
        <w:tab/>
      </w:r>
      <w:r>
        <w:rPr>
          <w:rFonts w:ascii="Arial" w:cs="Arial" w:eastAsia="Arial" w:hAnsi="Arial"/>
          <w:sz w:val="16"/>
          <w:szCs w:val="16"/>
          <w:color w:val="auto"/>
        </w:rPr>
        <w:t>% per annum.]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[If applicable, insert -- The sinking fund for the Securities provides for the redemption on ____________ in each year, beginning with the year and ending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the year _______, of [not less than] $_____] [(“mandatory sinking fund”) and not more than $_______] aggregate principal amount of the Securities.</w:t>
      </w:r>
    </w:p>
    <w:p>
      <w:pPr>
        <w:spacing w:after="0" w:line="32"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[The Securities acquired or redeemed by the Company otherwise than through [mandatory] sinking fund payments may be credited against subsequent [mandatory] sinking fund payments otherwise required to be made in the [describe order] order in which they become due.]]</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3" w:name="page214"/>
    <w:bookmarkEnd w:id="213"/>
    <w:p>
      <w:pPr>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9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Security is subordinated to the prior payment in full in cash of Senior Indebtedness to the extent set forth in Article Sixteen of the Indenture.</w:t>
      </w:r>
    </w:p>
    <w:p>
      <w:pPr>
        <w:spacing w:after="0" w:line="237" w:lineRule="exact"/>
        <w:rPr>
          <w:sz w:val="20"/>
          <w:szCs w:val="20"/>
          <w:color w:val="auto"/>
        </w:rPr>
      </w:pPr>
    </w:p>
    <w:p>
      <w:pPr>
        <w:spacing w:after="0"/>
        <w:tabs>
          <w:tab w:leader="none" w:pos="8000" w:val="left"/>
        </w:tabs>
        <w:rPr>
          <w:sz w:val="20"/>
          <w:szCs w:val="20"/>
          <w:color w:val="auto"/>
        </w:rPr>
      </w:pPr>
      <w:r>
        <w:rPr>
          <w:rFonts w:ascii="Arial" w:cs="Arial" w:eastAsia="Arial" w:hAnsi="Arial"/>
          <w:sz w:val="18"/>
          <w:szCs w:val="18"/>
          <w:color w:val="auto"/>
        </w:rPr>
        <w:t>The Securities of this series are issuable only in registered form [without coupons] in denominations of $</w:t>
      </w:r>
      <w:r>
        <w:rPr>
          <w:sz w:val="20"/>
          <w:szCs w:val="20"/>
          <w:color w:val="auto"/>
        </w:rPr>
        <w:tab/>
      </w:r>
      <w:r>
        <w:rPr>
          <w:rFonts w:ascii="Arial" w:cs="Arial" w:eastAsia="Arial" w:hAnsi="Arial"/>
          <w:sz w:val="16"/>
          <w:szCs w:val="16"/>
          <w:color w:val="auto"/>
        </w:rPr>
        <w:t>and any integral multiple thereof.</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FORMS OF 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GIVEN BY PERSON ENTITLED TO RECEIVE BEARER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OR TO OBTAIN INTEREST PAYABLE PRIOR TO THE EXCHANGE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OptimizeRx Corporation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6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Dated:</w:t>
        <w:tab/>
        <w:t>______________</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be dated no earlier than the 15th day prior to (i) the Exchange Date or (ii) the relevant Interest Payment Date occurring prior to the Exchange Date,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5432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center"/>
        <w:ind w:right="-39"/>
        <w:spacing w:after="0"/>
        <w:rPr>
          <w:sz w:val="20"/>
          <w:szCs w:val="20"/>
          <w:color w:val="auto"/>
        </w:rPr>
      </w:pPr>
      <w:r>
        <w:rPr>
          <w:rFonts w:ascii="Arial" w:cs="Arial" w:eastAsia="Arial" w:hAnsi="Arial"/>
          <w:sz w:val="18"/>
          <w:szCs w:val="18"/>
          <w:color w:val="auto"/>
        </w:rPr>
        <w:t>EXHIBIT B-2</w:t>
      </w:r>
    </w:p>
    <w:p>
      <w:pPr>
        <w:spacing w:after="0" w:line="225" w:lineRule="exact"/>
        <w:rPr>
          <w:sz w:val="20"/>
          <w:szCs w:val="20"/>
          <w:color w:val="auto"/>
        </w:rPr>
      </w:pPr>
    </w:p>
    <w:p>
      <w:pPr>
        <w:jc w:val="center"/>
        <w:ind w:left="360" w:right="80"/>
        <w:spacing w:after="0" w:line="308" w:lineRule="auto"/>
        <w:rPr>
          <w:sz w:val="20"/>
          <w:szCs w:val="20"/>
          <w:color w:val="auto"/>
        </w:rPr>
      </w:pPr>
      <w:r>
        <w:rPr>
          <w:rFonts w:ascii="Arial" w:cs="Arial" w:eastAsia="Arial" w:hAnsi="Arial"/>
          <w:sz w:val="17"/>
          <w:szCs w:val="17"/>
          <w:color w:val="auto"/>
        </w:rPr>
        <w:t>FORM OF CERTIFICATE TO BE GIVEN BY EUROCLEAR AND CLEARSTREAM S.A. IN CONNECTION WITH THE EXCHANGE OF A PORTION OF A TEMPORARY GLOBAL SECURITY OR TO OBTAIN INTEREST PAYABLE PRIOR TO THE EXCHANGE DATE CERTIFICATE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OptimizeRx Corporation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dated no earlier than the Exchange Date or the relevant Interest Payment Date occurring prior to the Exchange Date, as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Guaranty Trust Company of New York, Brussels Office, as Operator of the Euroclear System Clearstream Banking Luxembourg]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165735</wp:posOffset>
            </wp:positionV>
            <wp:extent cx="5349240" cy="7632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534924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OptimizeRx Corp.’s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have acted as counsel to OptimizeRx Corp., a Nevada corporation (the “Company”), in connection with its filing on the date hereof with the Securities and Exchange Commission (the “Commission”) of a registration statement on Form S-3 (the “Registration Statement”), including a base prospectus (the “Base Prospectus”), which provides that it will be supplemented by one or more prospectus supplements (each such prospectus supplement, together with the Base Prospectus, a “Prospectus”) under the Securities Act of 1933, as amended (the “Securities Act”) relating to the registration for issue and sale by the Company of an indeterminate amount of: (i) shares of the Company’s common stock, $0.001 par value per share (the “Common Stock”), which may include shares of Common Stock issuable upon the conversion and/or exercise of the other securities included in the Registration Statement,</w:t>
      </w:r>
    </w:p>
    <w:p>
      <w:pPr>
        <w:spacing w:after="0" w:line="4" w:lineRule="exact"/>
        <w:rPr>
          <w:sz w:val="20"/>
          <w:szCs w:val="20"/>
          <w:color w:val="auto"/>
        </w:rPr>
      </w:pPr>
    </w:p>
    <w:p>
      <w:pPr>
        <w:ind w:right="20" w:firstLine="8"/>
        <w:spacing w:after="0" w:line="284" w:lineRule="auto"/>
        <w:tabs>
          <w:tab w:leader="none" w:pos="26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shares of the Company’s preferred stock, $0.001 par value per share (the “Preferred Stock”), (iii) warrants (the “Warrants”) to purchase Common Stock and/or Preferred Stock, which may be issued pursuant to a warrant agreement (the “Warrant Agreement”) between the Company and a designated warrant agent, (iv) one or more series of senior or subordinated debt securities of the Company, which may be convertible into or exchangeable for shares of Common Stock and/or Preferred Stock (the “Debt Securities”), which may be issued pursuant to an indenture to be dated on or about the date of the first issuance of Debt Securities thereunder, by and between a trustee to be selected by the Company and qualified to act as such under the Trust Indenture Act of 1939, as amended (the “TIA”) and the Company, in the form filed as an exhibit or exhibits to the Registration Statement (each, an “Indenture”) issuable pursuant to the Base Prospectus (as supplemented from time to time by one or more prospectus supplements), (v) units comprised of one or more shares of Common Stock, shares of Preferred Stock, Debt Securities and Warrants, in any combination (the “Units”), which may be issued pursuant to a unit agreement (the “Unit Agreement”) between the Company and a designated unit agent and/or (vi) any combination of the foregoing securities (collectively, the Common Stock, Preferred Stock, Warrants, Debt Securities and Units plus any additional Common Stock, Preferred Stock, Warrants, Debt Securities and Units that may be registered pursuant to any subsequent registration statement that the Company may hereafter file with the Commission pursuant to Rule 462(b) under the Securities Act in connection with the offering by the Company contemplated by the Registration Statement, are collectively referred to herein as the “Securities”). The Securities may be offered and sold by the Company from time to time pursuant to Rule 415 under the Securities Act as set forth in the Prospectus, as supplemented by the various prospectus supplements that may be filed under the Securities Act after the date hereof.</w:t>
      </w:r>
    </w:p>
    <w:p>
      <w:pPr>
        <w:spacing w:after="0" w:line="17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This opinion is being delivered in accordance with the requirements of Item 601(b)(5) of Regulation S-K under the Securities Act and no opinion is expressed herein pertaining to the Registration Statement, or related applicable Prospectus, other than with respect to the enforceability of the Applicable Agreements (defined below) and the legally-issued nature of the Securities.</w:t>
      </w:r>
    </w:p>
    <w:p>
      <w:pPr>
        <w:spacing w:after="0" w:line="18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have reviewed such records, documents, agreements and certificates, and examined such questions of law, as we have considered necessary or appropriate to express the opinions set forth below. In making our examination of records, documents, agreements and certificates, we have assumed the authenticity of the same, the correctness of the information contained therein, the genuineness of all signatures, the authority of all persons entering and maintaining records or executing documents, agreements and certificates, and the conformity to authentic originals of all items submitted to us as copies (whether certified, conformed, photostatic or by other electronic means) of records, documents, agreements or certificates. In rendering our opinions, we have relied as to factual matters upon certificates of public officials and certificates and representations of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7" w:name="page218"/>
    <w:bookmarkEnd w:id="217"/>
    <w:p>
      <w:pPr>
        <w:ind w:left="640"/>
        <w:spacing w:after="0"/>
        <w:rPr>
          <w:sz w:val="20"/>
          <w:szCs w:val="20"/>
          <w:color w:val="auto"/>
        </w:rPr>
      </w:pPr>
      <w:r>
        <w:rPr>
          <w:rFonts w:ascii="Arial" w:cs="Arial" w:eastAsia="Arial" w:hAnsi="Arial"/>
          <w:sz w:val="18"/>
          <w:szCs w:val="18"/>
          <w:color w:val="auto"/>
        </w:rPr>
        <w:t>Based on the foregoing, and subject to the assumptions, limitations and qualifications set forth herein, we are of the opinion that:</w:t>
      </w:r>
    </w:p>
    <w:p>
      <w:pPr>
        <w:spacing w:after="0" w:line="225" w:lineRule="exact"/>
        <w:rPr>
          <w:sz w:val="20"/>
          <w:szCs w:val="20"/>
          <w:color w:val="auto"/>
        </w:rPr>
      </w:pPr>
    </w:p>
    <w:p>
      <w:pPr>
        <w:ind w:left="-20" w:right="20" w:firstLine="656"/>
        <w:spacing w:after="0" w:line="289" w:lineRule="auto"/>
        <w:tabs>
          <w:tab w:leader="none" w:pos="80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Upon adoption by the Board of Directors of the Company of a resolution in form and content as required by applicable law authorizing the offer, issuance and sale of Common Stock , (b) assuming that the Registration Statement and any required post-effective amendment(s) thereto have become effective under the Securities Act, and (c) assuming that upon the issuance of such Common Stock, the total number of issued and outstanding shares of Common Stock will not exceed the total number of shares of Common Stock that the Company is then authorized to issue under its Articles of Incorporation, as amended (the “Articles”), then upon issuance and delivery of and payment for such shares in the manner contemplated by the Registration Statement, the Prospectus and the related Prospectus Supplement(s) and by such resolution, such shares of Common Stock being issued by the Company (including any Common Stock duly issued upon (i) the exchange or conversion of any shares of Preferred Stock that are exchangeable or convertible into Common Stock, (ii) the exercise of any duly issued Warrants exercisable for Common Stock, or (iii) the exchange or settlement of Units that are exchangeable or able to be settled for Common Stock), will be validly issued, fully paid and nonassessable.</w:t>
      </w:r>
    </w:p>
    <w:p>
      <w:pPr>
        <w:spacing w:after="0" w:line="166" w:lineRule="exact"/>
        <w:rPr>
          <w:rFonts w:ascii="Arial" w:cs="Arial" w:eastAsia="Arial" w:hAnsi="Arial"/>
          <w:sz w:val="16"/>
          <w:szCs w:val="16"/>
          <w:color w:val="auto"/>
        </w:rPr>
      </w:pPr>
    </w:p>
    <w:p>
      <w:pPr>
        <w:ind w:left="-20" w:right="40" w:firstLine="656"/>
        <w:spacing w:after="0" w:line="286" w:lineRule="auto"/>
        <w:tabs>
          <w:tab w:leader="none" w:pos="80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When a new class or series of Preferred Stock has been duly established in accordance with the terms of the Articles and the Company’s Bylaws, as amended or amended and restated (“Bylaws”) and applicable law (in the event that the Preferred Stock is a new class or series of Preferred Stock), and upon adoption by the Board of Directors of the Company of a resolution in form and content as required by applicable law, (b) assuming that a certificate of designation constituting an amendment to the Articles relating to such class or series of Preferred Stock have been duly approved by the Company’s Board of Directors and been filed with and accepted for record by the Secretary of State of the State of Nevada, (c) assuming that the Registration Statement and any required post-effective amendment(s) thereto have become effective under the Securities Act, and (d) assuming that upon the issuance of such Preferred Stock, the total number of issued and outstanding shares of the applicable class or series of Preferred Stock will not exceed the total number of shares of Preferred Stock or the number of shares of such class or series of Preferred Stock that the Company is then authorized to issue under its Articles, then upon issuance and delivery of and payment for such shares in the manner contemplated by the Registration Statement, the Prospectus and the related Prospectus Supplement(s) and by such resolution, such shares of such class or series of Preferred Stock (including any Preferred Stock duly issued upon (i) the exchange or conversion of any shares of Preferred Stock that are exchangeable or convertible into another class or series of Preferred Stock, (ii) the exercise of any duly issued Warrants exercisable for Preferred Stock, or (iii) the exchange or settlement of Units that are exchangeable or able to be settled for Preferred Stock), will be validly issued, fully paid and nonassessable.</w:t>
      </w:r>
    </w:p>
    <w:p>
      <w:pPr>
        <w:spacing w:after="0" w:line="173" w:lineRule="exact"/>
        <w:rPr>
          <w:rFonts w:ascii="Arial" w:cs="Arial" w:eastAsia="Arial" w:hAnsi="Arial"/>
          <w:sz w:val="16"/>
          <w:szCs w:val="16"/>
          <w:color w:val="auto"/>
        </w:rPr>
      </w:pPr>
    </w:p>
    <w:p>
      <w:pPr>
        <w:ind w:left="-20" w:firstLine="656"/>
        <w:spacing w:after="0" w:line="268" w:lineRule="auto"/>
        <w:tabs>
          <w:tab w:leader="none" w:pos="80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 When a Warrant Agreement has been duly authorized, executed and delivered and the Warrants and the securities of the Company for which the Warrants will be exercisable have been duly authorized by the Company’s Board of Directors, (b) assuming that the terms of the Warrants and of their issuance and sale have been duly established in conformity with the Articles and Bylaws and the Warrant Agreement, (c) assuming that the Registration Statement and any required post-effective amendment thereto have become effective under the Securities Act, (d) assuming that the terms of the Warrants as executed and delivered are as described in the Registration Statement, the Prospectus and the related Prospectus Supplement(s), (e) assuming that the Warrants, as executed and delivered, do not violate any law applicable to the Company or result in a default under or breach of any agreement or instrument binding upon the Company, (f) assuming that the Warrants as executed and delivered comply with all requirements and restrictions, if any, applicable to the Company, whether imposed by any court or governmental or regulatory body having jurisdiction over the Company, and (g) assuming that the Warrants are then issued and sold as contemplated in the Registration Statement, the Prospectus and the Prospectus Supplement(s), then upon issuance and delivery of and payment for such Warrants in the manner contemplated by the Registration Statement, the Prospectus, the related Prospectus Supplement and the Warrant Agreement and by such resolution, the Warrants (including any Warrants issued upon the exchange or settlement of Units that are exchangeable or able to be settled for Warrants) will constitute valid and binding obligations of the Company, enforceable against the Company in accordance with their terms, and the Warrants will be validly issued.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18" w:name="page219"/>
    <w:bookmarkEnd w:id="218"/>
    <w:p>
      <w:pPr>
        <w:ind w:right="40" w:firstLine="656"/>
        <w:spacing w:after="0" w:line="269" w:lineRule="auto"/>
        <w:tabs>
          <w:tab w:leader="none" w:pos="82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 When the Debt Securities have been duly authorized, executed and delivered against the payment specified therefor pursuant to an Indenture that has been qualified under the TIA and any underwriting agreement or purchase agreement, (b) assuming that the terms of the Indenture have been duly established in conformity with the Articles and Bylaws, (c) assuming that the Registration Statement and any required post-effective amendment thereto have all become effective under the Securities Act, (d) assuming that the terms of the Indenture as executed and delivered are as described in the Registration Statement, the Prospectus and the related Prospectus Supplement(s), (e) assuming that the Indenture, as executed and delivered, does not violate any law applicable to the Company or result in a default under or breach of any agreement or instrument binding upon the Company, (f) assuming that the Indenture as executed and delivered comply with all requirements and restrictions, if any, applicable to the Company, whether imposed by any court or governmental or regulatory body having jurisdiction over the Company, and (g) assuming that the Debt Securities pursuant to the Indenture are then issued and sold as contemplated in the Registration Statement, the Prospectus and the Prospectus Supplement(s), then upon issuance and delivery of and payment for such Indenture in the manner contemplated by the Registration Statement, the Prospectus and the related Prospectus Supplement will constitute valid and binding obligations of the Company, enforceable against the Company in accordance with their terms, and the Debt Securities will be validly issued.</w:t>
      </w:r>
    </w:p>
    <w:p>
      <w:pPr>
        <w:spacing w:after="0" w:line="178" w:lineRule="exact"/>
        <w:rPr>
          <w:rFonts w:ascii="Arial" w:cs="Arial" w:eastAsia="Arial" w:hAnsi="Arial"/>
          <w:sz w:val="17"/>
          <w:szCs w:val="17"/>
          <w:color w:val="auto"/>
        </w:rPr>
      </w:pPr>
    </w:p>
    <w:p>
      <w:pPr>
        <w:ind w:right="20" w:firstLine="656"/>
        <w:spacing w:after="0" w:line="269" w:lineRule="auto"/>
        <w:tabs>
          <w:tab w:leader="none" w:pos="82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 When a Unit Agreement has been duly authorized, executed and delivered and the Units have been duly authorized by the Company’s Board of Directors, (b) assuming that the terms of the Units and of their issuance and sale have been duly established in conformity with the Unit Agreement, (c) assuming that the Registration Statement and any required post-effective amendment thereto have all become effective under the Securities Act, (d) assuming that the terms of the Units and the Unit Agreements as executed and delivered are as described in the Registration Statement, the Prospectus and the related Prospectus Supplement(s), (e) assuming that the Units and the Unit Agreements as executed and delivered do not violate any law applicable to the Company or result in a default under or breach of any agreement or instrument binding upon the Company, (f) assuming that the Units as executed and delivered comply with all requirements and restrictions, if any, applicable to the Company, whether imposed by any court or governmental or regulatory body having jurisdiction over the Company, and (g) assuming that the Units are then issued and sold as contemplated in the Registration Statement, the Prospectus and the Prospectus Supplement(s), then upon issuance and delivery of and payment for such Units in the manner contemplated by the Registration Statement, the Prospectus and the related Prospectus Supplement and the Unit Agreement and by such resolution, the Units will constitute valid and binding obligations of the Company.</w:t>
      </w:r>
    </w:p>
    <w:p>
      <w:pPr>
        <w:spacing w:after="0" w:line="18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delivery of any Securities offered pursuant to the Registration Statement (the “Offered Securities”):</w:t>
      </w:r>
    </w:p>
    <w:p>
      <w:pPr>
        <w:spacing w:after="0" w:line="170" w:lineRule="exact"/>
        <w:rPr>
          <w:sz w:val="20"/>
          <w:szCs w:val="20"/>
          <w:color w:val="auto"/>
        </w:rPr>
      </w:pPr>
    </w:p>
    <w:p>
      <w:pPr>
        <w:ind w:right="540" w:firstLine="656"/>
        <w:spacing w:after="0" w:line="277" w:lineRule="auto"/>
        <w:tabs>
          <w:tab w:leader="none" w:pos="86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Board of Directors, including any appropriate committee appointed thereby, and appropriate officers of the Company shall have duly established the terms of the Offered Securities;</w:t>
      </w:r>
    </w:p>
    <w:p>
      <w:pPr>
        <w:spacing w:after="0" w:line="170" w:lineRule="exact"/>
        <w:rPr>
          <w:rFonts w:ascii="Arial" w:cs="Arial" w:eastAsia="Arial" w:hAnsi="Arial"/>
          <w:sz w:val="18"/>
          <w:szCs w:val="18"/>
          <w:color w:val="auto"/>
        </w:rPr>
      </w:pPr>
    </w:p>
    <w:p>
      <w:pPr>
        <w:ind w:right="80" w:firstLine="656"/>
        <w:spacing w:after="0" w:line="275" w:lineRule="auto"/>
        <w:tabs>
          <w:tab w:leader="none" w:pos="91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Board of Directors, including any appropriate committee appointed thereby, and appropriate officers of the Company shall have duly authorized, and taken any other necessary corporate action to approve the creation, issuance and sale of, the Offered Securities and related matters (including without limitation with respect to Offered Securities that are Preferred Stock, the creation, execution, acknowledgment and filing of a certificate of designation stating the number, designation, relative rights, preferences and limitations of any such Preferred Stock in accordance with the applicable provisions of the corporate laws of the State of Nevada) and such authorizations and actions have not been rescinded;</w:t>
      </w:r>
    </w:p>
    <w:p>
      <w:pPr>
        <w:spacing w:after="0" w:line="176" w:lineRule="exact"/>
        <w:rPr>
          <w:rFonts w:ascii="Arial" w:cs="Arial" w:eastAsia="Arial" w:hAnsi="Arial"/>
          <w:sz w:val="17"/>
          <w:szCs w:val="17"/>
          <w:color w:val="auto"/>
        </w:rPr>
      </w:pPr>
    </w:p>
    <w:p>
      <w:pPr>
        <w:ind w:firstLine="656"/>
        <w:spacing w:after="0" w:line="273" w:lineRule="auto"/>
        <w:tabs>
          <w:tab w:leader="none" w:pos="96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terms of the issuance and sale of the Offered Securities have been duly established in conformity with the Articles of Incorporation the Bylaws, and other similar formation documents of the Company (the “Formation Documents”) and any other relevant agreement, the Warrant Agreement, the Indenture and the Unit Agreement (collectively, the “Applicable Agreements”), so as not to violate any applicable law, the Formation Documents (subject to the further assumption that such Formation Documents have not been amended from the date hereof in a manner that would affect the validity of any of the opinions rendered herein), or result in a default under or breach of any agreement or instrument binding upon the Company and so as to comply with any restriction imposed by any court or governmental body having jurisdiction over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ind w:right="20" w:firstLine="656"/>
        <w:spacing w:after="0" w:line="275" w:lineRule="auto"/>
        <w:tabs>
          <w:tab w:leader="none" w:pos="953"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Offered Securities, and any certificates representing the interests in the relevant Offered Securities, have been duly authenticated, authorized, executed, countersigned, registered and delivered upon payment of the agreed-upon legal consideration therefor and have been duly issued and sold in accordance with any relevant agreement (including, but not limited to, any Applicable Agreements), any underwriting agreement with respect to the Offered Securities or any other duly authorized, executed and delivered, applicable, valid and binding purchase agreement, or as otherwise contemplated by the Registration Statement or any post-effective amendment thereto, and any prospectus supplement(s) relating thereto;</w:t>
      </w:r>
    </w:p>
    <w:p>
      <w:pPr>
        <w:spacing w:after="0" w:line="176" w:lineRule="exact"/>
        <w:rPr>
          <w:rFonts w:ascii="Arial" w:cs="Arial" w:eastAsia="Arial" w:hAnsi="Arial"/>
          <w:sz w:val="17"/>
          <w:szCs w:val="17"/>
          <w:color w:val="auto"/>
        </w:rPr>
      </w:pPr>
    </w:p>
    <w:p>
      <w:pPr>
        <w:ind w:right="40" w:firstLine="656"/>
        <w:spacing w:after="0" w:line="342" w:lineRule="auto"/>
        <w:tabs>
          <w:tab w:leader="none" w:pos="90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Registration Statement, as finally amended (including all necessary post-effective amendments) and any additional registration statement filed under the Securities Act will have been declared effective under the Securities Act and such effectiveness shall not have been terminated or rescinded;</w:t>
      </w:r>
    </w:p>
    <w:p>
      <w:pPr>
        <w:spacing w:after="0" w:line="123" w:lineRule="exact"/>
        <w:rPr>
          <w:rFonts w:ascii="Arial" w:cs="Arial" w:eastAsia="Arial" w:hAnsi="Arial"/>
          <w:sz w:val="16"/>
          <w:szCs w:val="16"/>
          <w:color w:val="auto"/>
        </w:rPr>
      </w:pPr>
    </w:p>
    <w:p>
      <w:pPr>
        <w:ind w:right="220" w:firstLine="656"/>
        <w:spacing w:after="0" w:line="277" w:lineRule="auto"/>
        <w:tabs>
          <w:tab w:leader="none" w:pos="9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appropriate prospectus supplement(s) shall have been prepared, delivered and filed in compliance with the Securities Act and the applicable rules and regulations thereunder describing the Offered Securities offered thereby;</w:t>
      </w:r>
    </w:p>
    <w:p>
      <w:pPr>
        <w:spacing w:after="0" w:line="170" w:lineRule="exact"/>
        <w:rPr>
          <w:rFonts w:ascii="Arial" w:cs="Arial" w:eastAsia="Arial" w:hAnsi="Arial"/>
          <w:sz w:val="18"/>
          <w:szCs w:val="18"/>
          <w:color w:val="auto"/>
        </w:rPr>
      </w:pPr>
    </w:p>
    <w:p>
      <w:pPr>
        <w:ind w:right="100" w:firstLine="656"/>
        <w:spacing w:after="0" w:line="263" w:lineRule="auto"/>
        <w:tabs>
          <w:tab w:leader="none" w:pos="100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Offered Securities shall be issued and sold in compliance with all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183" w:lineRule="exact"/>
        <w:rPr>
          <w:rFonts w:ascii="Arial" w:cs="Arial" w:eastAsia="Arial" w:hAnsi="Arial"/>
          <w:sz w:val="18"/>
          <w:szCs w:val="18"/>
          <w:color w:val="auto"/>
        </w:rPr>
      </w:pPr>
    </w:p>
    <w:p>
      <w:pPr>
        <w:ind w:right="240" w:firstLine="656"/>
        <w:spacing w:after="0" w:line="263" w:lineRule="auto"/>
        <w:tabs>
          <w:tab w:leader="none" w:pos="10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the Offered Securities will be sold pursuant to a firm commitment underwritten offering, the underwriting agreement with respect to the Offered Securities in the form filed as an exhibit to the Registration Statement or any post-effective amendment thereto, or incorporated by reference therein, has been duly authorized, executed and delivered by the Company and the other parties thereto;</w:t>
      </w:r>
    </w:p>
    <w:p>
      <w:pPr>
        <w:spacing w:after="0" w:line="183" w:lineRule="exact"/>
        <w:rPr>
          <w:rFonts w:ascii="Arial" w:cs="Arial" w:eastAsia="Arial" w:hAnsi="Arial"/>
          <w:sz w:val="18"/>
          <w:szCs w:val="18"/>
          <w:color w:val="auto"/>
        </w:rPr>
      </w:pPr>
    </w:p>
    <w:p>
      <w:pPr>
        <w:ind w:firstLine="656"/>
        <w:spacing w:after="0" w:line="293" w:lineRule="auto"/>
        <w:tabs>
          <w:tab w:leader="none" w:pos="95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the case of an Applicable Agreement or other agreement or instrument pursuant to which any Offered Securities are to be issued, (1) each Applicable Agreement will be duly authorized, executed and delivered by the parties thereto other than the Company, (2) that each Applicable Agreement will constitute legally valid and binding obligations of the parties thereto other than the Company, enforceable against each of them in accordance with their respective terms, and (3) that the status of each Applicable Agreement as legally valid and binding obligations of the parties will not be affected by any (a) breaches of, or defaults under, agreements or instruments, (b) violations of statutes, rules, regulations or court or governmental orders, or (c) failures to obtain required consents, approvals or authorizations from, or to make required registrations, declarations or filings with, governmental authorities;</w:t>
      </w:r>
    </w:p>
    <w:p>
      <w:pPr>
        <w:spacing w:after="0" w:line="164" w:lineRule="exact"/>
        <w:rPr>
          <w:rFonts w:ascii="Arial" w:cs="Arial" w:eastAsia="Arial" w:hAnsi="Arial"/>
          <w:sz w:val="16"/>
          <w:szCs w:val="16"/>
          <w:color w:val="auto"/>
        </w:rPr>
      </w:pPr>
    </w:p>
    <w:p>
      <w:pPr>
        <w:ind w:right="80" w:firstLine="656"/>
        <w:spacing w:after="0" w:line="277" w:lineRule="auto"/>
        <w:tabs>
          <w:tab w:leader="none" w:pos="90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case of an Applicable Agreement or other agreement or instrument pursuant to which any Offered Securities are to be issued, there shall be no terms or provisions contained therein which would affect the validity of any of the opinions rendered herein; and</w:t>
      </w:r>
    </w:p>
    <w:p>
      <w:pPr>
        <w:spacing w:after="0" w:line="170" w:lineRule="exact"/>
        <w:rPr>
          <w:rFonts w:ascii="Arial" w:cs="Arial" w:eastAsia="Arial" w:hAnsi="Arial"/>
          <w:sz w:val="18"/>
          <w:szCs w:val="18"/>
          <w:color w:val="auto"/>
        </w:rPr>
      </w:pPr>
    </w:p>
    <w:p>
      <w:pPr>
        <w:ind w:right="180" w:firstLine="656"/>
        <w:spacing w:after="0" w:line="342" w:lineRule="auto"/>
        <w:tabs>
          <w:tab w:leader="none" w:pos="95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the case of an Applicable Agreement or other agreement or instrument pursuant to which any Offered Securities are to be issued, we have assumed that the laws of the State of Nevada will be chosen to govern such agreement or instrument and that such choice is a valid and legal provision.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opinions are based upon and expressly limited to the laws of the State of Nevada and the general corporation laws of the State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Nevada. We do not purport to be experts on, or to express any opinion with respect to the applicability thereto, or to the effect, of the laws of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jurisdiction or as to matters of local law or the laws of local governmental departments or agencies within the State of Nevada.</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ind w:firstLine="648"/>
        <w:spacing w:after="0" w:line="283" w:lineRule="auto"/>
        <w:rPr>
          <w:sz w:val="20"/>
          <w:szCs w:val="20"/>
          <w:color w:val="auto"/>
        </w:rPr>
      </w:pPr>
      <w:r>
        <w:rPr>
          <w:rFonts w:ascii="Arial" w:cs="Arial" w:eastAsia="Arial" w:hAnsi="Arial"/>
          <w:sz w:val="16"/>
          <w:szCs w:val="16"/>
          <w:color w:val="auto"/>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advance waivers of claims, defenses, rights granted by law, or notice, opportunity for hearing, evidentiary requirements, statutes of limitation, trial by jury or at law, or other procedural rights, (f) waivers of broadly or vaguely stated rights,</w:t>
      </w:r>
    </w:p>
    <w:p>
      <w:pPr>
        <w:spacing w:after="0" w:line="5" w:lineRule="exact"/>
        <w:rPr>
          <w:sz w:val="20"/>
          <w:szCs w:val="20"/>
          <w:color w:val="auto"/>
        </w:rPr>
      </w:pPr>
    </w:p>
    <w:p>
      <w:pPr>
        <w:ind w:firstLine="8"/>
        <w:spacing w:after="0" w:line="253" w:lineRule="auto"/>
        <w:tabs>
          <w:tab w:leader="none" w:pos="2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provisions for exclusivity, election or accumulation of rights or remedies, (g) provisions authorizing or validating conclusive or discretionary determinations, (h) grants of setoff rights, (i) proxies, powers and trusts, (j) provisions prohibiting, restricting, or requiring consent to assignment or transfer of any right or property, (k)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(l) the severability, if invalid, of provisions to the foregoing effect.</w:t>
      </w:r>
    </w:p>
    <w:p>
      <w:pPr>
        <w:spacing w:after="0" w:line="19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hereby consent to the filing of this opinion as Exhibit 5.1 to the Registration Statement and to the reference to this firm under the caption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Securities Act of 1933, as amended or under the rules and regulations promulgated by the Commission. This opinion is expressed as of the date hereof, and we disclaim any undertaking to advise you of any subsequent changes in the facts stated or assumed herein or of any subsequent changes in applicable laws, even where the Offered Securities may be issued from time to time on a delayed or continuous basis.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ind w:left="10120"/>
        <w:spacing w:after="0"/>
        <w:rPr>
          <w:sz w:val="20"/>
          <w:szCs w:val="20"/>
          <w:color w:val="auto"/>
        </w:rPr>
      </w:pPr>
      <w:r>
        <w:rPr>
          <w:rFonts w:ascii="Arial" w:cs="Arial" w:eastAsia="Arial" w:hAnsi="Arial"/>
          <w:sz w:val="19"/>
          <w:szCs w:val="19"/>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this Registration Statement of OptimizeRx Corporation on Form S-3 of our report dated March 26, 2020, with respect to our audit of the consolidated financial statements of OptimizeRx Corporation and Subsidiaries as of December 31, 2019 and for the year then ended, and our report dated March 26, 2020 with respect to our audit of internal control over financial reporting of OptimizeRx Corporation as of December 31, 2019 appearing in the Annual Report on Form 10-K of OptimizeRx Corporation for the year ended December 31, 2019. We were dismissed as auditors on June 22, 2020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 on the consolidated financial statements refers to a change in the Company’s method of accounting for leases in 2019 due to the adoption of ASU No. 2016-02, Leases (Topic 842), as amended, effective January 1, 2019, using the modified retrospective approach.</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Our report on the effectiveness of internal control over financial reporting expressed an adverse opinion because of the existence of material weaknesses.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p>
      <w:pPr>
        <w:sectPr>
          <w:pgSz w:w="11900" w:h="16838" w:orient="portrait"/>
          <w:cols w:equalWidth="0" w:num="1">
            <w:col w:w="11240"/>
          </w:cols>
          <w:pgMar w:left="320" w:top="112"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our report dated March 12, 2019, with respect to our audit of the consolidated financial statements of OptimizeRx Corporation as of and for the year ended December 31, 2018, included in its Annual Report on Form 10-K for the year ended December 31, 2019, filed with the Securities and Exchange Commission. We also consent to the reference of our firm under the caption “Experts” in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Sadler, Gibb and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1)"/>
      <w:numFmt w:val="decimal"/>
      <w:start w:val="1"/>
    </w:lvl>
  </w:abstractNum>
  <w:abstractNum w:abstractNumId="1">
    <w:nsid w:val="2DF6D648"/>
    <w:multiLevelType w:val="hybridMultilevel"/>
    <w:lvl w:ilvl="0">
      <w:lvlJc w:val="left"/>
      <w:lvlText w:val="(%1)"/>
      <w:numFmt w:val="decimal"/>
      <w:start w:val="2"/>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
      <w:numFmt w:val="bullet"/>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
      <w:numFmt w:val="bullet"/>
      <w:start w:val="1"/>
    </w:lvl>
  </w:abstractNum>
  <w:abstractNum w:abstractNumId="16">
    <w:nsid w:val="5FB8011C"/>
    <w:multiLevelType w:val="hybridMultilevel"/>
    <w:lvl w:ilvl="0">
      <w:lvlJc w:val="left"/>
      <w:lvlText w:val="●"/>
      <w:numFmt w:val="bullet"/>
      <w:start w:val="1"/>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1)"/>
      <w:numFmt w:val="decimal"/>
      <w:start w:val="2"/>
    </w:lvl>
  </w:abstractNum>
  <w:abstractNum w:abstractNumId="26">
    <w:nsid w:val="3FA62ACA"/>
    <w:multiLevelType w:val="hybridMultilevel"/>
    <w:lvl w:ilvl="0">
      <w:lvlJc w:val="left"/>
      <w:lvlText w:val="(%1)"/>
      <w:numFmt w:val="decimal"/>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9DAF632"/>
    <w:multiLevelType w:val="hybridMultilevel"/>
    <w:lvl w:ilvl="0">
      <w:lvlJc w:val="left"/>
      <w:lvlText w:val="(%1)"/>
      <w:numFmt w:val="decimal"/>
      <w:start w:val="2"/>
    </w:lvl>
    <w:lvl w:ilvl="1">
      <w:lvlJc w:val="left"/>
      <w:lvlText w:val="(%2)"/>
      <w:numFmt w:val="lowerRoman"/>
      <w:start w:val="1"/>
    </w:lvl>
  </w:abstractNum>
  <w:abstractNum w:abstractNumId="31">
    <w:nsid w:val="53299938"/>
    <w:multiLevelType w:val="hybridMultilevel"/>
    <w:lvl w:ilvl="0">
      <w:lvlJc w:val="left"/>
      <w:lvlText w:val="(%1)"/>
      <w:numFmt w:val="decimal"/>
      <w:start w:val="5"/>
    </w:lvl>
  </w:abstractNum>
  <w:abstractNum w:abstractNumId="32">
    <w:nsid w:val="1FBFE8E0"/>
    <w:multiLevelType w:val="hybridMultilevel"/>
    <w:lvl w:ilvl="0">
      <w:lvlJc w:val="left"/>
      <w:lvlText w:val="(%1)"/>
      <w:numFmt w:val="decimal"/>
      <w:start w:val="1"/>
    </w:lvl>
  </w:abstractNum>
  <w:abstractNum w:abstractNumId="33">
    <w:nsid w:val="5092CA79"/>
    <w:multiLevelType w:val="hybridMultilevel"/>
    <w:lvl w:ilvl="0">
      <w:lvlJc w:val="left"/>
      <w:lvlText w:val="(%1)"/>
      <w:numFmt w:val="lowerRoman"/>
      <w:start w:val="1"/>
    </w:lvl>
  </w:abstractNum>
  <w:abstractNum w:abstractNumId="34">
    <w:nsid w:val="1D545C4D"/>
    <w:multiLevelType w:val="hybridMultilevel"/>
    <w:lvl w:ilvl="0">
      <w:lvlJc w:val="left"/>
      <w:lvlText w:val="(%1)"/>
      <w:numFmt w:val="decimal"/>
      <w:start w:val="2"/>
    </w:lvl>
  </w:abstractNum>
  <w:abstractNum w:abstractNumId="35">
    <w:nsid w:val="59ADEA3D"/>
    <w:multiLevelType w:val="hybridMultilevel"/>
    <w:lvl w:ilvl="0">
      <w:lvlJc w:val="left"/>
      <w:lvlText w:val="(%1)"/>
      <w:numFmt w:val="decimal"/>
      <w:start w:val="3"/>
    </w:lvl>
  </w:abstractNum>
  <w:abstractNum w:abstractNumId="36">
    <w:nsid w:val="288F1A34"/>
    <w:multiLevelType w:val="hybridMultilevel"/>
    <w:lvl w:ilvl="0">
      <w:lvlJc w:val="left"/>
      <w:lvlText w:val="(%1)"/>
      <w:numFmt w:val="lowerLetter"/>
      <w:start w:val="1"/>
    </w:lvl>
  </w:abstractNum>
  <w:abstractNum w:abstractNumId="37">
    <w:nsid w:val="2A155DBC"/>
    <w:multiLevelType w:val="hybridMultilevel"/>
    <w:lvl w:ilvl="0">
      <w:lvlJc w:val="left"/>
      <w:lvlText w:val="(%1)"/>
      <w:numFmt w:val="lowerLetter"/>
      <w:start w:val="2"/>
    </w:lvl>
  </w:abstractNum>
  <w:abstractNum w:abstractNumId="38">
    <w:nsid w:val="1D9F6E5F"/>
    <w:multiLevelType w:val="hybridMultilevel"/>
    <w:lvl w:ilvl="0">
      <w:lvlJc w:val="left"/>
      <w:lvlText w:val="(%1)"/>
      <w:numFmt w:val="decimal"/>
      <w:start w:val="1"/>
    </w:lvl>
  </w:abstractNum>
  <w:abstractNum w:abstractNumId="39">
    <w:nsid w:val="97E1B4E"/>
    <w:multiLevelType w:val="hybridMultilevel"/>
    <w:lvl w:ilvl="0">
      <w:lvlJc w:val="left"/>
      <w:lvlText w:val="(%1)"/>
      <w:numFmt w:val="decimal"/>
      <w:start w:val="1"/>
    </w:lvl>
  </w:abstractNum>
  <w:abstractNum w:abstractNumId="40">
    <w:nsid w:val="51088277"/>
    <w:multiLevelType w:val="hybridMultilevel"/>
    <w:lvl w:ilvl="0">
      <w:lvlJc w:val="left"/>
      <w:lvlText w:val="(%1)"/>
      <w:numFmt w:val="decimal"/>
      <w:start w:val="9"/>
    </w:lvl>
  </w:abstractNum>
  <w:abstractNum w:abstractNumId="41">
    <w:nsid w:val="1CA0C5FA"/>
    <w:multiLevelType w:val="hybridMultilevel"/>
    <w:lvl w:ilvl="0">
      <w:lvlJc w:val="left"/>
      <w:lvlText w:val="(%1)"/>
      <w:numFmt w:val="decimal"/>
      <w:start w:val="19"/>
    </w:lvl>
  </w:abstractNum>
  <w:abstractNum w:abstractNumId="42">
    <w:nsid w:val="53584BCB"/>
    <w:multiLevelType w:val="hybridMultilevel"/>
    <w:lvl w:ilvl="0">
      <w:lvlJc w:val="left"/>
      <w:lvlText w:val="(%1)"/>
      <w:numFmt w:val="lowerLetter"/>
      <w:start w:val="1"/>
    </w:lvl>
  </w:abstractNum>
  <w:abstractNum w:abstractNumId="43">
    <w:nsid w:val="415E286C"/>
    <w:multiLevelType w:val="hybridMultilevel"/>
    <w:lvl w:ilvl="0">
      <w:lvlJc w:val="left"/>
      <w:lvlText w:val="(%1)"/>
      <w:numFmt w:val="lowerRoman"/>
      <w:start w:val="2"/>
    </w:lvl>
  </w:abstractNum>
  <w:abstractNum w:abstractNumId="44">
    <w:nsid w:val="7C58FD05"/>
    <w:multiLevelType w:val="hybridMultilevel"/>
    <w:lvl w:ilvl="0">
      <w:lvlJc w:val="left"/>
      <w:lvlText w:val="(%1)"/>
      <w:numFmt w:val="lowerLetter"/>
      <w:start w:val="1"/>
    </w:lvl>
  </w:abstractNum>
  <w:abstractNum w:abstractNumId="45">
    <w:nsid w:val="23D86AAC"/>
    <w:multiLevelType w:val="hybridMultilevel"/>
    <w:lvl w:ilvl="0">
      <w:lvlJc w:val="left"/>
      <w:lvlText w:val="(%1)"/>
      <w:numFmt w:val="lowerLetter"/>
      <w:start w:val="2"/>
    </w:lvl>
  </w:abstractNum>
  <w:abstractNum w:abstractNumId="46">
    <w:nsid w:val="45E6D486"/>
    <w:multiLevelType w:val="hybridMultilevel"/>
    <w:lvl w:ilvl="0">
      <w:lvlJc w:val="left"/>
      <w:lvlText w:val="(%1)"/>
      <w:numFmt w:val="lowerRoman"/>
      <w:start w:val="2"/>
    </w:lvl>
  </w:abstractNum>
  <w:abstractNum w:abstractNumId="47">
    <w:nsid w:val="5C10FE21"/>
    <w:multiLevelType w:val="hybridMultilevel"/>
    <w:lvl w:ilvl="0">
      <w:lvlJc w:val="left"/>
      <w:lvlText w:val="(%1)"/>
      <w:numFmt w:val="decimal"/>
      <w:start w:val="1"/>
    </w:lvl>
  </w:abstractNum>
  <w:abstractNum w:abstractNumId="48">
    <w:nsid w:val="E7FFA2B"/>
    <w:multiLevelType w:val="hybridMultilevel"/>
    <w:lvl w:ilvl="0">
      <w:lvlJc w:val="left"/>
      <w:lvlText w:val="(%1)"/>
      <w:numFmt w:val="decimal"/>
      <w:start w:val="2"/>
    </w:lvl>
  </w:abstractNum>
  <w:abstractNum w:abstractNumId="49">
    <w:nsid w:val="3C5991A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50">
    <w:nsid w:val="4BD8591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51">
    <w:nsid w:val="78DF6A55"/>
    <w:multiLevelType w:val="hybridMultilevel"/>
    <w:lvl w:ilvl="0">
      <w:lvlJc w:val="left"/>
      <w:lvlText w:val="(%1)"/>
      <w:numFmt w:val="upperLetter"/>
      <w:start w:val="2"/>
    </w:lvl>
    <w:lvl w:ilvl="1">
      <w:lvlJc w:val="left"/>
      <w:lvlText w:val="(%2)"/>
      <w:numFmt w:val="lowerRoman"/>
      <w:start w:val="1"/>
    </w:lvl>
  </w:abstractNum>
  <w:abstractNum w:abstractNumId="52">
    <w:nsid w:val="39B7AAA2"/>
    <w:multiLevelType w:val="hybridMultilevel"/>
    <w:lvl w:ilvl="0">
      <w:lvlJc w:val="left"/>
      <w:lvlText w:val="(%1)"/>
      <w:numFmt w:val="decimal"/>
      <w:start w:val="2"/>
    </w:lvl>
  </w:abstractNum>
  <w:abstractNum w:abstractNumId="53">
    <w:nsid w:val="2B0D8DBE"/>
    <w:multiLevelType w:val="hybridMultilevel"/>
    <w:lvl w:ilvl="0">
      <w:lvlJc w:val="left"/>
      <w:lvlText w:val="(%1)"/>
      <w:numFmt w:val="decimal"/>
      <w:start w:val="1"/>
    </w:lvl>
  </w:abstractNum>
  <w:abstractNum w:abstractNumId="54">
    <w:nsid w:val="6C80EC70"/>
    <w:multiLevelType w:val="hybridMultilevel"/>
    <w:lvl w:ilvl="0">
      <w:lvlJc w:val="left"/>
      <w:lvlText w:val="(%1)"/>
      <w:numFmt w:val="decimal"/>
      <w:start w:val="6"/>
    </w:lvl>
    <w:lvl w:ilvl="1">
      <w:lvlJc w:val="left"/>
      <w:lvlText w:val="(%2)"/>
      <w:numFmt w:val="upperLetter"/>
      <w:start w:val="1"/>
    </w:lvl>
  </w:abstractNum>
  <w:abstractNum w:abstractNumId="55">
    <w:nsid w:val="379E21B5"/>
    <w:multiLevelType w:val="hybridMultilevel"/>
    <w:lvl w:ilvl="0">
      <w:lvlJc w:val="left"/>
      <w:lvlText w:val="(%1)"/>
      <w:numFmt w:val="decimal"/>
      <w:start w:val="1"/>
    </w:lvl>
    <w:lvl w:ilvl="1">
      <w:lvlJc w:val="left"/>
      <w:lvlText w:val="(%2)"/>
      <w:numFmt w:val="upperLetter"/>
      <w:start w:val="1"/>
    </w:lvl>
  </w:abstractNum>
  <w:abstractNum w:abstractNumId="56">
    <w:nsid w:val="69E373"/>
    <w:multiLevelType w:val="hybridMultilevel"/>
    <w:lvl w:ilvl="0">
      <w:lvlJc w:val="left"/>
      <w:lvlText w:val="%1"/>
      <w:numFmt w:val="decimal"/>
      <w:start w:val="1"/>
    </w:lvl>
    <w:lvl w:ilvl="1">
      <w:lvlJc w:val="left"/>
      <w:lvlText w:val="(%2)"/>
      <w:numFmt w:val="upperLetter"/>
      <w:start w:val="3"/>
    </w:lvl>
  </w:abstractNum>
  <w:abstractNum w:abstractNumId="57">
    <w:nsid w:val="2C27173B"/>
    <w:multiLevelType w:val="hybridMultilevel"/>
    <w:lvl w:ilvl="0">
      <w:lvlJc w:val="left"/>
      <w:lvlText w:val="(%1)"/>
      <w:numFmt w:val="decimal"/>
      <w:start w:val="2"/>
    </w:lvl>
    <w:lvl w:ilvl="1">
      <w:lvlJc w:val="left"/>
      <w:lvlText w:val="%2"/>
      <w:numFmt w:val="upperLetter"/>
      <w:start w:val="1"/>
    </w:lvl>
  </w:abstractNum>
  <w:abstractNum w:abstractNumId="58">
    <w:nsid w:val="4C9B0904"/>
    <w:multiLevelType w:val="hybridMultilevel"/>
    <w:lvl w:ilvl="0">
      <w:lvlJc w:val="left"/>
      <w:lvlText w:val="(%1)"/>
      <w:numFmt w:val="decimal"/>
      <w:start w:val="1"/>
    </w:lvl>
  </w:abstractNum>
  <w:abstractNum w:abstractNumId="59">
    <w:nsid w:val="6AA7B75C"/>
    <w:multiLevelType w:val="hybridMultilevel"/>
    <w:lvl w:ilvl="0">
      <w:lvlJc w:val="left"/>
      <w:lvlText w:val="(%1)"/>
      <w:numFmt w:val="lowerRoman"/>
      <w:start w:val="1"/>
    </w:lvl>
  </w:abstractNum>
  <w:abstractNum w:abstractNumId="60">
    <w:nsid w:val="1DF029D3"/>
    <w:multiLevelType w:val="hybridMultilevel"/>
    <w:lvl w:ilvl="0">
      <w:lvlJc w:val="left"/>
      <w:lvlText w:val="(%1)"/>
      <w:numFmt w:val="decimal"/>
      <w:start w:val="2"/>
    </w:lvl>
  </w:abstractNum>
  <w:abstractNum w:abstractNumId="61">
    <w:nsid w:val="5675FF36"/>
    <w:multiLevelType w:val="hybridMultilevel"/>
    <w:lvl w:ilvl="0">
      <w:lvlJc w:val="left"/>
      <w:lvlText w:val="(%1)"/>
      <w:numFmt w:val="decimal"/>
      <w:start w:val="1"/>
    </w:lvl>
  </w:abstractNum>
  <w:abstractNum w:abstractNumId="62">
    <w:nsid w:val="3DD15094"/>
    <w:multiLevelType w:val="hybridMultilevel"/>
    <w:lvl w:ilvl="0">
      <w:lvlJc w:val="left"/>
      <w:lvlText w:val="(%1)"/>
      <w:numFmt w:val="decimal"/>
      <w:start w:val="1"/>
    </w:lvl>
  </w:abstractNum>
  <w:abstractNum w:abstractNumId="63">
    <w:nsid w:val="3DB012B3"/>
    <w:multiLevelType w:val="hybridMultilevel"/>
    <w:lvl w:ilvl="0">
      <w:lvlJc w:val="left"/>
      <w:lvlText w:val="(%1)"/>
      <w:numFmt w:val="decimal"/>
      <w:start w:val="1"/>
    </w:lvl>
  </w:abstractNum>
  <w:abstractNum w:abstractNumId="64">
    <w:nsid w:val="2708C9AF"/>
    <w:multiLevelType w:val="hybridMultilevel"/>
    <w:lvl w:ilvl="0">
      <w:lvlJc w:val="left"/>
      <w:lvlText w:val="(%1)"/>
      <w:numFmt w:val="decimal"/>
      <w:start w:val="3"/>
    </w:lvl>
  </w:abstractNum>
  <w:abstractNum w:abstractNumId="65">
    <w:nsid w:val="5B25ACE2"/>
    <w:multiLevelType w:val="hybridMultilevel"/>
    <w:lvl w:ilvl="0">
      <w:lvlJc w:val="left"/>
      <w:lvlText w:val="(%1)"/>
      <w:numFmt w:val="decimal"/>
      <w:start w:val="11"/>
    </w:lvl>
  </w:abstractNum>
  <w:abstractNum w:abstractNumId="66">
    <w:nsid w:val="175DFCF0"/>
    <w:multiLevelType w:val="hybridMultilevel"/>
    <w:lvl w:ilvl="0">
      <w:lvlJc w:val="left"/>
      <w:lvlText w:val="(%1)"/>
      <w:numFmt w:val="decimal"/>
      <w:start w:val="1"/>
    </w:lvl>
  </w:abstractNum>
  <w:abstractNum w:abstractNumId="67">
    <w:nsid w:val="4F97E3E4"/>
    <w:multiLevelType w:val="hybridMultilevel"/>
    <w:lvl w:ilvl="0">
      <w:lvlJc w:val="left"/>
      <w:lvlText w:val="(%1)"/>
      <w:numFmt w:val="lowerLetter"/>
      <w:start w:val="1"/>
    </w:lvl>
  </w:abstractNum>
  <w:abstractNum w:abstractNumId="68">
    <w:nsid w:val="53B0A9E"/>
    <w:multiLevelType w:val="hybridMultilevel"/>
    <w:lvl w:ilvl="0">
      <w:lvlJc w:val="left"/>
      <w:lvlText w:val="(%1)"/>
      <w:numFmt w:val="lowerLetter"/>
      <w:start w:val="3"/>
    </w:lvl>
    <w:lvl w:ilvl="1">
      <w:lvlJc w:val="left"/>
      <w:lvlText w:val="(%2)"/>
      <w:numFmt w:val="decimal"/>
      <w:start w:val="1"/>
    </w:lvl>
  </w:abstractNum>
  <w:abstractNum w:abstractNumId="69">
    <w:nsid w:val="34FD6B4F"/>
    <w:multiLevelType w:val="hybridMultilevel"/>
    <w:lvl w:ilvl="0">
      <w:lvlJc w:val="left"/>
      <w:lvlText w:val="%1"/>
      <w:numFmt w:val="decimal"/>
      <w:start w:val="1"/>
    </w:lvl>
    <w:lvl w:ilvl="1">
      <w:lvlJc w:val="left"/>
      <w:lvlText w:val="(%2)"/>
      <w:numFmt w:val="lowerLetter"/>
      <w:start w:val="5"/>
    </w:lvl>
  </w:abstractNum>
  <w:abstractNum w:abstractNumId="70">
    <w:nsid w:val="5915FF32"/>
    <w:multiLevelType w:val="hybridMultilevel"/>
    <w:lvl w:ilvl="0">
      <w:lvlJc w:val="left"/>
      <w:lvlText w:val="%1."/>
      <w:numFmt w:val="decimal"/>
      <w:start w:val="106"/>
    </w:lvl>
    <w:lvl w:ilvl="1">
      <w:lvlJc w:val="left"/>
      <w:lvlText w:val="%2"/>
      <w:numFmt w:val="lowerLetter"/>
      <w:start w:val="1"/>
    </w:lvl>
  </w:abstractNum>
  <w:abstractNum w:abstractNumId="71">
    <w:nsid w:val="56438D15"/>
    <w:multiLevelType w:val="hybridMultilevel"/>
    <w:lvl w:ilvl="0">
      <w:lvlJc w:val="left"/>
      <w:lvlText w:val="(%1)"/>
      <w:numFmt w:val="lowerLetter"/>
      <w:start w:val="1"/>
    </w:lvl>
  </w:abstractNum>
  <w:abstractNum w:abstractNumId="72">
    <w:nsid w:val="519E3149"/>
    <w:multiLevelType w:val="hybridMultilevel"/>
    <w:lvl w:ilvl="0">
      <w:lvlJc w:val="left"/>
      <w:lvlText w:val="(%1)"/>
      <w:numFmt w:val="lowerLetter"/>
      <w:start w:val="1"/>
    </w:lvl>
    <w:lvl w:ilvl="1">
      <w:lvlJc w:val="left"/>
      <w:lvlText w:val="(%2)"/>
      <w:numFmt w:val="decimal"/>
      <w:start w:val="1"/>
    </w:lvl>
  </w:abstractNum>
  <w:abstractNum w:abstractNumId="73">
    <w:nsid w:val="2C6E4AFD"/>
    <w:multiLevelType w:val="hybridMultilevel"/>
    <w:lvl w:ilvl="0">
      <w:lvlJc w:val="left"/>
      <w:lvlText w:val="(%1)"/>
      <w:numFmt w:val="lowerLetter"/>
      <w:start w:val="3"/>
    </w:lvl>
    <w:lvl w:ilvl="1">
      <w:lvlJc w:val="left"/>
      <w:lvlText w:val="(%2)"/>
      <w:numFmt w:val="decimal"/>
      <w:start w:val="1"/>
    </w:lvl>
  </w:abstractNum>
  <w:abstractNum w:abstractNumId="74">
    <w:nsid w:val="17A1B582"/>
    <w:multiLevelType w:val="hybridMultilevel"/>
    <w:lvl w:ilvl="0">
      <w:lvlJc w:val="left"/>
      <w:lvlText w:val="(%1)"/>
      <w:numFmt w:val="decimal"/>
      <w:start w:val="1"/>
    </w:lvl>
  </w:abstractNum>
  <w:abstractNum w:abstractNumId="75">
    <w:nsid w:val="4DF72E4E"/>
    <w:multiLevelType w:val="hybridMultilevel"/>
    <w:lvl w:ilvl="0">
      <w:lvlJc w:val="left"/>
      <w:lvlText w:val="(%1)"/>
      <w:numFmt w:val="lowerLetter"/>
      <w:start w:val="1"/>
    </w:lvl>
  </w:abstractNum>
  <w:abstractNum w:abstractNumId="76">
    <w:nsid w:val="5046B5A9"/>
    <w:multiLevelType w:val="hybridMultilevel"/>
    <w:lvl w:ilvl="0">
      <w:lvlJc w:val="left"/>
      <w:lvlText w:val="(%1)"/>
      <w:numFmt w:val="decimal"/>
      <w:start w:val="1"/>
    </w:lvl>
  </w:abstractNum>
  <w:abstractNum w:abstractNumId="77">
    <w:nsid w:val="5D888A08"/>
    <w:multiLevelType w:val="hybridMultilevel"/>
    <w:lvl w:ilvl="0">
      <w:lvlJc w:val="left"/>
      <w:lvlText w:val="(%1)"/>
      <w:numFmt w:val="decimal"/>
      <w:start w:val="10"/>
    </w:lvl>
  </w:abstractNum>
  <w:abstractNum w:abstractNumId="78">
    <w:nsid w:val="2A082C70"/>
    <w:multiLevelType w:val="hybridMultilevel"/>
    <w:lvl w:ilvl="0">
      <w:lvlJc w:val="left"/>
      <w:lvlText w:val="(%1)"/>
      <w:numFmt w:val="decimal"/>
      <w:start w:val="1"/>
    </w:lvl>
  </w:abstractNum>
  <w:abstractNum w:abstractNumId="79">
    <w:nsid w:val="5EC6AFD4"/>
    <w:multiLevelType w:val="hybridMultilevel"/>
    <w:lvl w:ilvl="0">
      <w:lvlJc w:val="left"/>
      <w:lvlText w:val="%1)"/>
      <w:numFmt w:val="decimal"/>
      <w:start w:val="612"/>
    </w:lvl>
  </w:abstractNum>
  <w:abstractNum w:abstractNumId="80">
    <w:nsid w:val="19E21BB2"/>
    <w:multiLevelType w:val="hybridMultilevel"/>
    <w:lvl w:ilvl="0">
      <w:lvlJc w:val="left"/>
      <w:lvlText w:val="(%1)"/>
      <w:numFmt w:val="decimal"/>
      <w:start w:val="1"/>
    </w:lvl>
  </w:abstractNum>
  <w:abstractNum w:abstractNumId="81">
    <w:nsid w:val="75E0858A"/>
    <w:multiLevelType w:val="hybridMultilevel"/>
    <w:lvl w:ilvl="0">
      <w:lvlJc w:val="left"/>
      <w:lvlText w:val="(%1)"/>
      <w:numFmt w:val="decimal"/>
      <w:start w:val="1"/>
    </w:lvl>
  </w:abstractNum>
  <w:abstractNum w:abstractNumId="82">
    <w:nsid w:val="57A61A29"/>
    <w:multiLevelType w:val="hybridMultilevel"/>
    <w:lvl w:ilvl="0">
      <w:lvlJc w:val="left"/>
      <w:lvlText w:val="(%1)"/>
      <w:numFmt w:val="lowerLetter"/>
      <w:start w:val="1"/>
    </w:lvl>
  </w:abstractNum>
  <w:abstractNum w:abstractNumId="83">
    <w:nsid w:val="5399C654"/>
    <w:multiLevelType w:val="hybridMultilevel"/>
    <w:lvl w:ilvl="0">
      <w:lvlJc w:val="left"/>
      <w:lvlText w:val="(%1)"/>
      <w:numFmt w:val="lowerLetter"/>
      <w:start w:val="6"/>
    </w:lvl>
  </w:abstractNum>
  <w:abstractNum w:abstractNumId="84">
    <w:nsid w:val="20EE1348"/>
    <w:multiLevelType w:val="hybridMultilevel"/>
    <w:lvl w:ilvl="0">
      <w:lvlJc w:val="left"/>
      <w:lvlText w:val="(%1)"/>
      <w:numFmt w:val="lowerLetter"/>
      <w:start w:val="1"/>
    </w:lvl>
  </w:abstractNum>
  <w:abstractNum w:abstractNumId="85">
    <w:nsid w:val="4427069A"/>
    <w:multiLevelType w:val="hybridMultilevel"/>
    <w:lvl w:ilvl="0">
      <w:lvlJc w:val="left"/>
      <w:lvlText w:val="(%1)"/>
      <w:numFmt w:val="lowerLetter"/>
      <w:start w:val="1"/>
    </w:lvl>
  </w:abstractNum>
  <w:abstractNum w:abstractNumId="86">
    <w:nsid w:val="B37E80A"/>
    <w:multiLevelType w:val="hybridMultilevel"/>
    <w:lvl w:ilvl="0">
      <w:lvlJc w:val="left"/>
      <w:lvlText w:val="(%1)"/>
      <w:numFmt w:val="lowerRoman"/>
      <w:start w:val="1"/>
    </w:lvl>
  </w:abstractNum>
  <w:abstractNum w:abstractNumId="87">
    <w:nsid w:val="2157F6BC"/>
    <w:multiLevelType w:val="hybridMultilevel"/>
    <w:lvl w:ilvl="0">
      <w:lvlJc w:val="left"/>
      <w:lvlText w:val="(%1)"/>
      <w:numFmt w:val="lowerLetter"/>
      <w:start w:val="1"/>
    </w:lvl>
  </w:abstractNum>
  <w:abstractNum w:abstractNumId="88">
    <w:nsid w:val="704E1DD5"/>
    <w:multiLevelType w:val="hybridMultilevel"/>
    <w:lvl w:ilvl="0">
      <w:lvlJc w:val="left"/>
      <w:lvlText w:val="(%1)"/>
      <w:numFmt w:val="decimal"/>
      <w:start w:val="1"/>
    </w:lvl>
  </w:abstractNum>
  <w:abstractNum w:abstractNumId="89">
    <w:nsid w:val="57D2F10E"/>
    <w:multiLevelType w:val="hybridMultilevel"/>
    <w:lvl w:ilvl="0">
      <w:lvlJc w:val="left"/>
      <w:lvlText w:val="(%1)"/>
      <w:numFmt w:val="decimal"/>
      <w:start w:val="2"/>
    </w:lvl>
  </w:abstractNum>
  <w:abstractNum w:abstractNumId="90">
    <w:nsid w:val="BFFAE18"/>
    <w:multiLevelType w:val="hybridMultilevel"/>
    <w:lvl w:ilvl="0">
      <w:lvlJc w:val="left"/>
      <w:lvlText w:val="%1"/>
      <w:numFmt w:val="lowerRoman"/>
      <w:start w:val="1"/>
    </w:lvl>
    <w:lvl w:ilvl="1">
      <w:lvlJc w:val="left"/>
      <w:lvlText w:val="(%2)"/>
      <w:numFmt w:val="decimal"/>
      <w:start w:val="5"/>
    </w:lvl>
  </w:abstractNum>
  <w:abstractNum w:abstractNumId="91">
    <w:nsid w:val="E3E47A8"/>
    <w:multiLevelType w:val="hybridMultilevel"/>
    <w:lvl w:ilvl="0">
      <w:lvlJc w:val="left"/>
      <w:lvlText w:val="(%1)"/>
      <w:numFmt w:val="lowerRoman"/>
      <w:start w:val="2"/>
    </w:lvl>
    <w:lvl w:ilvl="1">
      <w:lvlJc w:val="left"/>
      <w:lvlText w:val="(%2)"/>
      <w:numFmt w:val="decimal"/>
      <w:start w:val="7"/>
    </w:lvl>
  </w:abstractNum>
  <w:abstractNum w:abstractNumId="92">
    <w:nsid w:val="2E48F044"/>
    <w:multiLevelType w:val="hybridMultilevel"/>
    <w:lvl w:ilvl="0">
      <w:lvlJc w:val="left"/>
      <w:lvlText w:val="%1"/>
      <w:numFmt w:val="decimal"/>
      <w:start w:val="1"/>
    </w:lvl>
    <w:lvl w:ilvl="1">
      <w:lvlJc w:val="left"/>
      <w:lvlText w:val="(%2)"/>
      <w:numFmt w:val="decimal"/>
      <w:start w:val="10"/>
    </w:lvl>
  </w:abstractNum>
  <w:abstractNum w:abstractNumId="93">
    <w:nsid w:val="49D0FEAC"/>
    <w:multiLevelType w:val="hybridMultilevel"/>
    <w:lvl w:ilvl="0">
      <w:lvlJc w:val="left"/>
      <w:lvlText w:val="(%1)"/>
      <w:numFmt w:val="decimal"/>
      <w:start w:val="4"/>
    </w:lvl>
    <w:lvl w:ilvl="1">
      <w:lvlJc w:val="left"/>
      <w:lvlText w:val="%2"/>
      <w:numFmt w:val="decimal"/>
      <w:start w:val="1"/>
    </w:lvl>
  </w:abstractNum>
  <w:abstractNum w:abstractNumId="94">
    <w:nsid w:val="4BEE5A5B"/>
    <w:multiLevelType w:val="hybridMultilevel"/>
    <w:lvl w:ilvl="0">
      <w:lvlJc w:val="left"/>
      <w:lvlText w:val="(%1)"/>
      <w:numFmt w:val="decimal"/>
      <w:start w:val="1"/>
    </w:lvl>
  </w:abstractNum>
  <w:abstractNum w:abstractNumId="95">
    <w:nsid w:val="5551B9F3"/>
    <w:multiLevelType w:val="hybridMultilevel"/>
    <w:lvl w:ilvl="0">
      <w:lvlJc w:val="left"/>
      <w:lvlText w:val="(%1)"/>
      <w:numFmt w:val="decimal"/>
      <w:start w:val="1"/>
    </w:lvl>
  </w:abstractNum>
  <w:abstractNum w:abstractNumId="96">
    <w:nsid w:val="24F6AB8E"/>
    <w:multiLevelType w:val="hybridMultilevel"/>
    <w:lvl w:ilvl="0">
      <w:lvlJc w:val="left"/>
      <w:lvlText w:val="(%1)"/>
      <w:numFmt w:val="decimal"/>
      <w:start w:val="1"/>
    </w:lvl>
  </w:abstractNum>
  <w:abstractNum w:abstractNumId="97">
    <w:nsid w:val="634C574C"/>
    <w:multiLevelType w:val="hybridMultilevel"/>
    <w:lvl w:ilvl="0">
      <w:lvlJc w:val="left"/>
      <w:lvlText w:val="(%1)"/>
      <w:numFmt w:val="decimal"/>
      <w:start w:val="1"/>
    </w:lvl>
  </w:abstractNum>
  <w:abstractNum w:abstractNumId="98">
    <w:nsid w:val="24E99DD7"/>
    <w:multiLevelType w:val="hybridMultilevel"/>
    <w:lvl w:ilvl="0">
      <w:lvlJc w:val="left"/>
      <w:lvlText w:val="(%1)"/>
      <w:numFmt w:val="lowerRoman"/>
      <w:start w:val="1"/>
    </w:lvl>
  </w:abstractNum>
  <w:abstractNum w:abstractNumId="99">
    <w:nsid w:val="2A31B62D"/>
    <w:multiLevelType w:val="hybridMultilevel"/>
    <w:lvl w:ilvl="0">
      <w:lvlJc w:val="left"/>
      <w:lvlText w:val="(%1)"/>
      <w:numFmt w:val="decimal"/>
      <w:start w:val="1"/>
    </w:lvl>
  </w:abstractNum>
  <w:abstractNum w:abstractNumId="100">
    <w:nsid w:val="1849C29B"/>
    <w:multiLevelType w:val="hybridMultilevel"/>
    <w:lvl w:ilvl="0">
      <w:lvlJc w:val="left"/>
      <w:lvlText w:val="(%1)"/>
      <w:numFmt w:val="decimal"/>
      <w:start w:val="2"/>
    </w:lvl>
  </w:abstractNum>
  <w:abstractNum w:abstractNumId="101">
    <w:nsid w:val="7DFF9D09"/>
    <w:multiLevelType w:val="hybridMultilevel"/>
    <w:lvl w:ilvl="0">
      <w:lvlJc w:val="left"/>
      <w:lvlText w:val="(%1)"/>
      <w:numFmt w:val="lowerLetter"/>
      <w:start w:val="1"/>
    </w:lvl>
  </w:abstractNum>
  <w:abstractNum w:abstractNumId="102">
    <w:nsid w:val="754342"/>
    <w:multiLevelType w:val="hybridMultilevel"/>
    <w:lvl w:ilvl="0">
      <w:lvlJc w:val="left"/>
      <w:lvlText w:val="(%1)"/>
      <w:numFmt w:val="lowerLetter"/>
      <w:start w:val="2"/>
    </w:lvl>
  </w:abstractNum>
  <w:abstractNum w:abstractNumId="103">
    <w:nsid w:val="69E7F3E5"/>
    <w:multiLevelType w:val="hybridMultilevel"/>
    <w:lvl w:ilvl="0">
      <w:lvlJc w:val="left"/>
      <w:lvlText w:val="(%1)"/>
      <w:numFmt w:val="decimal"/>
      <w:start w:val="1"/>
    </w:lvl>
  </w:abstractNum>
  <w:abstractNum w:abstractNumId="104">
    <w:nsid w:val="2A6DE806"/>
    <w:multiLevelType w:val="hybridMultilevel"/>
    <w:lvl w:ilvl="0">
      <w:lvlJc w:val="left"/>
      <w:lvlText w:val="(%1)"/>
      <w:numFmt w:val="decimal"/>
      <w:start w:val="1"/>
    </w:lvl>
  </w:abstractNum>
  <w:abstractNum w:abstractNumId="105">
    <w:nsid w:val="1816F8C4"/>
    <w:multiLevelType w:val="hybridMultilevel"/>
    <w:lvl w:ilvl="0">
      <w:lvlJc w:val="left"/>
      <w:lvlText w:val="(%1)"/>
      <w:numFmt w:val="decimal"/>
      <w:start w:val="10"/>
    </w:lvl>
  </w:abstractNum>
  <w:abstractNum w:abstractNumId="106">
    <w:nsid w:val="37DF2233"/>
    <w:multiLevelType w:val="hybridMultilevel"/>
    <w:lvl w:ilvl="0">
      <w:lvlJc w:val="left"/>
      <w:lvlText w:val="(%1)"/>
      <w:numFmt w:val="decimal"/>
      <w:start w:val="19"/>
    </w:lvl>
  </w:abstractNum>
  <w:abstractNum w:abstractNumId="107">
    <w:nsid w:val="7AB49DAF"/>
    <w:multiLevelType w:val="hybridMultilevel"/>
    <w:lvl w:ilvl="0">
      <w:lvlJc w:val="left"/>
      <w:lvlText w:val="(%1)"/>
      <w:numFmt w:val="lowerLetter"/>
      <w:start w:val="1"/>
    </w:lvl>
  </w:abstractNum>
  <w:abstractNum w:abstractNumId="108">
    <w:nsid w:val="759F82CD"/>
    <w:multiLevelType w:val="hybridMultilevel"/>
    <w:lvl w:ilvl="0">
      <w:lvlJc w:val="left"/>
      <w:lvlText w:val="(%1)"/>
      <w:numFmt w:val="lowerRoman"/>
      <w:start w:val="2"/>
    </w:lvl>
  </w:abstractNum>
  <w:abstractNum w:abstractNumId="109">
    <w:nsid w:val="61E74EA3"/>
    <w:multiLevelType w:val="hybridMultilevel"/>
    <w:lvl w:ilvl="0">
      <w:lvlJc w:val="left"/>
      <w:lvlText w:val="(%1)"/>
      <w:numFmt w:val="lowerLetter"/>
      <w:start w:val="1"/>
    </w:lvl>
  </w:abstractNum>
  <w:abstractNum w:abstractNumId="110">
    <w:nsid w:val="597B4D84"/>
    <w:multiLevelType w:val="hybridMultilevel"/>
    <w:lvl w:ilvl="0">
      <w:lvlJc w:val="left"/>
      <w:lvlText w:val="(%1)"/>
      <w:numFmt w:val="lowerLetter"/>
      <w:start w:val="2"/>
    </w:lvl>
  </w:abstractNum>
  <w:abstractNum w:abstractNumId="111">
    <w:nsid w:val="F819E7F"/>
    <w:multiLevelType w:val="hybridMultilevel"/>
    <w:lvl w:ilvl="0">
      <w:lvlJc w:val="left"/>
      <w:lvlText w:val="(%1)"/>
      <w:numFmt w:val="lowerRoman"/>
      <w:start w:val="2"/>
    </w:lvl>
  </w:abstractNum>
  <w:abstractNum w:abstractNumId="112">
    <w:nsid w:val="57C7D42D"/>
    <w:multiLevelType w:val="hybridMultilevel"/>
    <w:lvl w:ilvl="0">
      <w:lvlJc w:val="left"/>
      <w:lvlText w:val="(%1)"/>
      <w:numFmt w:val="decimal"/>
      <w:start w:val="1"/>
    </w:lvl>
  </w:abstractNum>
  <w:abstractNum w:abstractNumId="113">
    <w:nsid w:val="312167AD"/>
    <w:multiLevelType w:val="hybridMultilevel"/>
    <w:lvl w:ilvl="0">
      <w:lvlJc w:val="left"/>
      <w:lvlText w:val="(%1)"/>
      <w:numFmt w:val="decimal"/>
      <w:start w:val="2"/>
    </w:lvl>
  </w:abstractNum>
  <w:abstractNum w:abstractNumId="114">
    <w:nsid w:val="631B64D4"/>
    <w:multiLevelType w:val="hybridMultilevel"/>
    <w:lvl w:ilvl="0">
      <w:lvlJc w:val="left"/>
      <w:lvlText w:val="(%1)"/>
      <w:numFmt w:val="lowerRoman"/>
      <w:start w:val="1"/>
    </w:lvl>
  </w:abstractNum>
  <w:abstractNum w:abstractNumId="115">
    <w:nsid w:val="78B5E776"/>
    <w:multiLevelType w:val="hybridMultilevel"/>
    <w:lvl w:ilvl="0">
      <w:lvlJc w:val="left"/>
      <w:lvlText w:val="%1"/>
      <w:numFmt w:val="lowerRoman"/>
      <w:start w:val="1"/>
    </w:lvl>
    <w:lvl w:ilvl="1">
      <w:lvlJc w:val="left"/>
      <w:lvlText w:val="(%2)"/>
      <w:numFmt w:val="lowerRoman"/>
      <w:start w:val="1"/>
    </w:lvl>
  </w:abstractNum>
  <w:abstractNum w:abstractNumId="116">
    <w:nsid w:val="75486E47"/>
    <w:multiLevelType w:val="hybridMultilevel"/>
    <w:lvl w:ilvl="0">
      <w:lvlJc w:val="left"/>
      <w:lvlText w:val="(%1)"/>
      <w:numFmt w:val="lowerRoman"/>
      <w:start w:val="3"/>
    </w:lvl>
    <w:lvl w:ilvl="1">
      <w:lvlJc w:val="left"/>
      <w:lvlText w:val="%2"/>
      <w:numFmt w:val="lowerRoman"/>
      <w:start w:val="1"/>
    </w:lvl>
  </w:abstractNum>
  <w:abstractNum w:abstractNumId="117">
    <w:nsid w:val="6E534CDE"/>
    <w:multiLevelType w:val="hybridMultilevel"/>
    <w:lvl w:ilvl="0">
      <w:lvlJc w:val="left"/>
      <w:lvlText w:val="(%1)"/>
      <w:numFmt w:val="decimal"/>
      <w:start w:val="1"/>
    </w:lvl>
  </w:abstractNum>
  <w:abstractNum w:abstractNumId="118">
    <w:nsid w:val="1A0DDE32"/>
    <w:multiLevelType w:val="hybridMultilevel"/>
    <w:lvl w:ilvl="0">
      <w:lvlJc w:val="left"/>
      <w:lvlText w:val="(%1)"/>
      <w:numFmt w:val="decimal"/>
      <w:start w:val="1"/>
    </w:lvl>
  </w:abstractNum>
  <w:abstractNum w:abstractNumId="119">
    <w:nsid w:val="65968C1C"/>
    <w:multiLevelType w:val="hybridMultilevel"/>
    <w:lvl w:ilvl="0">
      <w:lvlJc w:val="left"/>
      <w:lvlText w:val="(%1)"/>
      <w:numFmt w:val="decimal"/>
      <w:start w:val="2"/>
    </w:lvl>
    <w:lvl w:ilvl="1">
      <w:lvlJc w:val="left"/>
      <w:lvlText w:val="(%2)"/>
      <w:numFmt w:val="upperLetter"/>
      <w:start w:val="1"/>
    </w:lvl>
  </w:abstractNum>
  <w:abstractNum w:abstractNumId="120">
    <w:nsid w:val="46263DEC"/>
    <w:multiLevelType w:val="hybridMultilevel"/>
    <w:lvl w:ilvl="0">
      <w:lvlJc w:val="left"/>
      <w:lvlText w:val="(%1)"/>
      <w:numFmt w:val="upperLetter"/>
      <w:start w:val="1"/>
    </w:lvl>
  </w:abstractNum>
  <w:abstractNum w:abstractNumId="121">
    <w:nsid w:val="260D8C4A"/>
    <w:multiLevelType w:val="hybridMultilevel"/>
    <w:lvl w:ilvl="0">
      <w:lvlJc w:val="left"/>
      <w:lvlText w:val="(%1)"/>
      <w:numFmt w:val="upperLetter"/>
      <w:start w:val="2"/>
    </w:lvl>
  </w:abstractNum>
  <w:abstractNum w:abstractNumId="122">
    <w:nsid w:val="73D4D3C4"/>
    <w:multiLevelType w:val="hybridMultilevel"/>
    <w:lvl w:ilvl="0">
      <w:lvlJc w:val="left"/>
      <w:lvlText w:val="(%1)"/>
      <w:numFmt w:val="decimal"/>
      <w:start w:val="1"/>
    </w:lvl>
    <w:lvl w:ilvl="1">
      <w:lvlJc w:val="left"/>
      <w:lvlText w:val="(%2)"/>
      <w:numFmt w:val="upperLetter"/>
      <w:start w:val="1"/>
    </w:lvl>
  </w:abstractNum>
  <w:abstractNum w:abstractNumId="123">
    <w:nsid w:val="746F2E30"/>
    <w:multiLevelType w:val="hybridMultilevel"/>
    <w:lvl w:ilvl="0">
      <w:lvlJc w:val="left"/>
      <w:lvlText w:val="(%1)"/>
      <w:numFmt w:val="decimal"/>
      <w:start w:val="1"/>
    </w:lvl>
  </w:abstractNum>
  <w:abstractNum w:abstractNumId="124">
    <w:nsid w:val="6FDE8AF6"/>
    <w:multiLevelType w:val="hybridMultilevel"/>
    <w:lvl w:ilvl="0">
      <w:lvlJc w:val="left"/>
      <w:lvlText w:val="(%1)"/>
      <w:numFmt w:val="lowerRoman"/>
      <w:start w:val="1"/>
    </w:lvl>
  </w:abstractNum>
  <w:abstractNum w:abstractNumId="125">
    <w:nsid w:val="3FC32E20"/>
    <w:multiLevelType w:val="hybridMultilevel"/>
    <w:lvl w:ilvl="0">
      <w:lvlJc w:val="left"/>
      <w:lvlText w:val="(%1)"/>
      <w:numFmt w:val="decimal"/>
      <w:start w:val="2"/>
    </w:lvl>
  </w:abstractNum>
  <w:abstractNum w:abstractNumId="126">
    <w:nsid w:val="49C0E823"/>
    <w:multiLevelType w:val="hybridMultilevel"/>
    <w:lvl w:ilvl="0">
      <w:lvlJc w:val="left"/>
      <w:lvlText w:val="(%1)"/>
      <w:numFmt w:val="decimal"/>
      <w:start w:val="1"/>
    </w:lvl>
  </w:abstractNum>
  <w:abstractNum w:abstractNumId="127">
    <w:nsid w:val="14D53685"/>
    <w:multiLevelType w:val="hybridMultilevel"/>
    <w:lvl w:ilvl="0">
      <w:lvlJc w:val="left"/>
      <w:lvlText w:val="(%1)"/>
      <w:numFmt w:val="decimal"/>
      <w:start w:val="1"/>
    </w:lvl>
  </w:abstractNum>
  <w:abstractNum w:abstractNumId="128">
    <w:nsid w:val="230F856C"/>
    <w:multiLevelType w:val="hybridMultilevel"/>
    <w:lvl w:ilvl="0">
      <w:lvlJc w:val="left"/>
      <w:lvlText w:val="(%1)"/>
      <w:numFmt w:val="decimal"/>
      <w:start w:val="1"/>
    </w:lvl>
  </w:abstractNum>
  <w:abstractNum w:abstractNumId="129">
    <w:nsid w:val="6EAA85FB"/>
    <w:multiLevelType w:val="hybridMultilevel"/>
    <w:lvl w:ilvl="0">
      <w:lvlJc w:val="left"/>
      <w:lvlText w:val="(%1)"/>
      <w:numFmt w:val="decimal"/>
      <w:start w:val="5"/>
    </w:lvl>
  </w:abstractNum>
  <w:abstractNum w:abstractNumId="130">
    <w:nsid w:val="3F06ECB2"/>
    <w:multiLevelType w:val="hybridMultilevel"/>
    <w:lvl w:ilvl="0">
      <w:lvlJc w:val="left"/>
      <w:lvlText w:val="(%1)"/>
      <w:numFmt w:val="decimal"/>
      <w:start w:val="13"/>
    </w:lvl>
  </w:abstractNum>
  <w:abstractNum w:abstractNumId="131">
    <w:nsid w:val="3B594807"/>
    <w:multiLevelType w:val="hybridMultilevel"/>
    <w:lvl w:ilvl="0">
      <w:lvlJc w:val="left"/>
      <w:lvlText w:val="(%1)"/>
      <w:numFmt w:val="decimal"/>
      <w:start w:val="1"/>
    </w:lvl>
  </w:abstractNum>
  <w:abstractNum w:abstractNumId="132">
    <w:nsid w:val="6CAA2304"/>
    <w:multiLevelType w:val="hybridMultilevel"/>
    <w:lvl w:ilvl="0">
      <w:lvlJc w:val="left"/>
      <w:lvlText w:val="(%1)"/>
      <w:numFmt w:val="lowerLetter"/>
      <w:start w:val="1"/>
    </w:lvl>
  </w:abstractNum>
  <w:abstractNum w:abstractNumId="133">
    <w:nsid w:val="3F7C2FF4"/>
    <w:multiLevelType w:val="hybridMultilevel"/>
    <w:lvl w:ilvl="0">
      <w:lvlJc w:val="left"/>
      <w:lvlText w:val="(%1)"/>
      <w:numFmt w:val="decimal"/>
      <w:start w:val="1"/>
    </w:lvl>
  </w:abstractNum>
  <w:abstractNum w:abstractNumId="134">
    <w:nsid w:val="25413BEC"/>
    <w:multiLevelType w:val="hybridMultilevel"/>
    <w:lvl w:ilvl="0">
      <w:lvlJc w:val="left"/>
      <w:lvlText w:val="(%1)"/>
      <w:numFmt w:val="lowerLetter"/>
      <w:start w:val="5"/>
    </w:lvl>
  </w:abstractNum>
  <w:abstractNum w:abstractNumId="135">
    <w:nsid w:val="17180B0B"/>
    <w:multiLevelType w:val="hybridMultilevel"/>
    <w:lvl w:ilvl="0">
      <w:lvlJc w:val="left"/>
      <w:lvlText w:val="(%1)"/>
      <w:numFmt w:val="lowerLetter"/>
      <w:start w:val="1"/>
    </w:lvl>
  </w:abstractNum>
  <w:abstractNum w:abstractNumId="136">
    <w:nsid w:val="579328B9"/>
    <w:multiLevelType w:val="hybridMultilevel"/>
    <w:lvl w:ilvl="0">
      <w:lvlJc w:val="left"/>
      <w:lvlText w:val="(%1)"/>
      <w:numFmt w:val="lowerLetter"/>
      <w:start w:val="2"/>
    </w:lvl>
  </w:abstractNum>
  <w:abstractNum w:abstractNumId="137">
    <w:nsid w:val="5D205E20"/>
    <w:multiLevelType w:val="hybridMultilevel"/>
    <w:lvl w:ilvl="0">
      <w:lvlJc w:val="left"/>
      <w:lvlText w:val="(%1)"/>
      <w:numFmt w:val="decimal"/>
      <w:start w:val="1"/>
    </w:lvl>
  </w:abstractNum>
  <w:abstractNum w:abstractNumId="138">
    <w:nsid w:val="11CCA8BA"/>
    <w:multiLevelType w:val="hybridMultilevel"/>
    <w:lvl w:ilvl="0">
      <w:lvlJc w:val="left"/>
      <w:lvlText w:val="(%1)"/>
      <w:numFmt w:val="lowerLetter"/>
      <w:start w:val="2"/>
    </w:lvl>
  </w:abstractNum>
  <w:abstractNum w:abstractNumId="139">
    <w:nsid w:val="4D32AB86"/>
    <w:multiLevelType w:val="hybridMultilevel"/>
    <w:lvl w:ilvl="0">
      <w:lvlJc w:val="left"/>
      <w:lvlText w:val="(%1)"/>
      <w:numFmt w:val="decimal"/>
      <w:start w:val="1"/>
    </w:lvl>
  </w:abstractNum>
  <w:abstractNum w:abstractNumId="140">
    <w:nsid w:val="3F07ACC3"/>
    <w:multiLevelType w:val="hybridMultilevel"/>
    <w:lvl w:ilvl="0">
      <w:lvlJc w:val="left"/>
      <w:lvlText w:val="(%1)"/>
      <w:numFmt w:val="decimal"/>
      <w:start w:val="3"/>
    </w:lvl>
  </w:abstractNum>
  <w:abstractNum w:abstractNumId="141">
    <w:nsid w:val="6B47F63E"/>
    <w:multiLevelType w:val="hybridMultilevel"/>
    <w:lvl w:ilvl="0">
      <w:lvlJc w:val="left"/>
      <w:lvlText w:val="(%1)"/>
      <w:numFmt w:val="lowerLetter"/>
      <w:start w:val="4"/>
    </w:lvl>
  </w:abstractNum>
  <w:abstractNum w:abstractNumId="142">
    <w:nsid w:val="5CB44A05"/>
    <w:multiLevelType w:val="hybridMultilevel"/>
    <w:lvl w:ilvl="0">
      <w:lvlJc w:val="left"/>
      <w:lvlText w:val="(%1)"/>
      <w:numFmt w:val="decimal"/>
      <w:start w:val="1"/>
    </w:lvl>
  </w:abstractNum>
  <w:abstractNum w:abstractNumId="143">
    <w:nsid w:val="16CF80F1"/>
    <w:multiLevelType w:val="hybridMultilevel"/>
    <w:lvl w:ilvl="0">
      <w:lvlJc w:val="left"/>
      <w:lvlText w:val="(%1)"/>
      <w:numFmt w:val="decimal"/>
      <w:start w:val="2"/>
    </w:lvl>
  </w:abstractNum>
  <w:abstractNum w:abstractNumId="144">
    <w:nsid w:val="1C695DEC"/>
    <w:multiLevelType w:val="hybridMultilevel"/>
    <w:lvl w:ilvl="0">
      <w:lvlJc w:val="left"/>
      <w:lvlText w:val="(%1)"/>
      <w:numFmt w:val="lowerLetter"/>
      <w:start w:val="1"/>
    </w:lvl>
  </w:abstractNum>
  <w:abstractNum w:abstractNumId="145">
    <w:nsid w:val="3FCFAED9"/>
    <w:multiLevelType w:val="hybridMultilevel"/>
    <w:lvl w:ilvl="0">
      <w:lvlJc w:val="left"/>
      <w:lvlText w:val="(%1)"/>
      <w:numFmt w:val="decimal"/>
      <w:start w:val="1"/>
    </w:lvl>
  </w:abstractNum>
  <w:abstractNum w:abstractNumId="146">
    <w:nsid w:val="F856867"/>
    <w:multiLevelType w:val="hybridMultilevel"/>
    <w:lvl w:ilvl="0">
      <w:lvlJc w:val="left"/>
      <w:lvlText w:val="(%1)"/>
      <w:numFmt w:val="decimal"/>
      <w:start w:val="4"/>
    </w:lvl>
  </w:abstractNum>
  <w:abstractNum w:abstractNumId="147">
    <w:nsid w:val="11B1CC33"/>
    <w:multiLevelType w:val="hybridMultilevel"/>
    <w:lvl w:ilvl="0">
      <w:lvlJc w:val="left"/>
      <w:lvlText w:val="(%1)"/>
      <w:numFmt w:val="decimal"/>
      <w:start w:val="1"/>
    </w:lvl>
  </w:abstractNum>
  <w:abstractNum w:abstractNumId="148">
    <w:nsid w:val="2E22FBB7"/>
    <w:multiLevelType w:val="hybridMultilevel"/>
    <w:lvl w:ilvl="0">
      <w:lvlJc w:val="left"/>
      <w:lvlText w:val="%1)"/>
      <w:numFmt w:val="decimal"/>
      <w:start w:val="612"/>
    </w:lvl>
  </w:abstractNum>
  <w:abstractNum w:abstractNumId="149">
    <w:nsid w:val="29934699"/>
    <w:multiLevelType w:val="hybridMultilevel"/>
    <w:lvl w:ilvl="0">
      <w:lvlJc w:val="left"/>
      <w:lvlText w:val="(%1)"/>
      <w:numFmt w:val="decimal"/>
      <w:start w:val="1"/>
    </w:lvl>
  </w:abstractNum>
  <w:abstractNum w:abstractNumId="150">
    <w:nsid w:val="77485850"/>
    <w:multiLevelType w:val="hybridMultilevel"/>
    <w:lvl w:ilvl="0">
      <w:lvlJc w:val="left"/>
      <w:lvlText w:val="(%1)"/>
      <w:numFmt w:val="decimal"/>
      <w:start w:val="1"/>
    </w:lvl>
  </w:abstractNum>
  <w:abstractNum w:abstractNumId="151">
    <w:nsid w:val="744939A3"/>
    <w:multiLevelType w:val="hybridMultilevel"/>
    <w:lvl w:ilvl="0">
      <w:lvlJc w:val="left"/>
      <w:lvlText w:val="(%1)"/>
      <w:numFmt w:val="decimal"/>
      <w:start w:val="3"/>
    </w:lvl>
  </w:abstractNum>
  <w:abstractNum w:abstractNumId="152">
    <w:nsid w:val="4FA0D2E3"/>
    <w:multiLevelType w:val="hybridMultilevel"/>
    <w:lvl w:ilvl="0">
      <w:lvlJc w:val="left"/>
      <w:lvlText w:val="(%1)"/>
      <w:numFmt w:val="lowerLetter"/>
      <w:start w:val="1"/>
    </w:lvl>
  </w:abstractNum>
  <w:abstractNum w:abstractNumId="153">
    <w:nsid w:val="6B1D2C14"/>
    <w:multiLevelType w:val="hybridMultilevel"/>
    <w:lvl w:ilvl="0">
      <w:lvlJc w:val="left"/>
      <w:lvlText w:val="(%1)"/>
      <w:numFmt w:val="lowerLetter"/>
      <w:start w:val="7"/>
    </w:lvl>
  </w:abstractNum>
  <w:abstractNum w:abstractNumId="154">
    <w:nsid w:val="68B867D3"/>
    <w:multiLevelType w:val="hybridMultilevel"/>
    <w:lvl w:ilvl="0">
      <w:lvlJc w:val="left"/>
      <w:lvlText w:val="(%1)"/>
      <w:numFmt w:val="lowerLetter"/>
      <w:start w:val="1"/>
    </w:lvl>
  </w:abstractNum>
  <w:abstractNum w:abstractNumId="155">
    <w:nsid w:val="3F7F5DD9"/>
    <w:multiLevelType w:val="hybridMultilevel"/>
    <w:lvl w:ilvl="0">
      <w:lvlJc w:val="left"/>
      <w:lvlText w:val="(%1)"/>
      <w:numFmt w:val="decimal"/>
      <w:start w:val="1"/>
    </w:lvl>
  </w:abstractNum>
  <w:abstractNum w:abstractNumId="156">
    <w:nsid w:val="2AE05A34"/>
    <w:multiLevelType w:val="hybridMultilevel"/>
    <w:lvl w:ilvl="0">
      <w:lvlJc w:val="left"/>
      <w:lvlText w:val="(%1)"/>
      <w:numFmt w:val="lowerRoman"/>
      <w:start w:val="1"/>
    </w:lvl>
  </w:abstractNum>
  <w:abstractNum w:abstractNumId="157">
    <w:nsid w:val="32794FF7"/>
    <w:multiLevelType w:val="hybridMultilevel"/>
    <w:lvl w:ilvl="0">
      <w:lvlJc w:val="left"/>
      <w:lvlText w:val="(%1)"/>
      <w:numFmt w:val="lowerLetter"/>
      <w:start w:val="1"/>
    </w:lvl>
  </w:abstractNum>
  <w:abstractNum w:abstractNumId="158">
    <w:nsid w:val="5454945E"/>
    <w:multiLevelType w:val="hybridMultilevel"/>
    <w:lvl w:ilvl="0">
      <w:lvlJc w:val="left"/>
      <w:lvlText w:val="(%1)"/>
      <w:numFmt w:val="lowerLetter"/>
      <w:start w:val="3"/>
    </w:lvl>
  </w:abstractNum>
  <w:abstractNum w:abstractNumId="159">
    <w:nsid w:val="4DEFDFA0"/>
    <w:multiLevelType w:val="hybridMultilevel"/>
    <w:lvl w:ilvl="0">
      <w:lvlJc w:val="left"/>
      <w:lvlText w:val="(%1)"/>
      <w:numFmt w:val="decimal"/>
      <w:start w:val="1"/>
    </w:lvl>
  </w:abstractNum>
  <w:abstractNum w:abstractNumId="160">
    <w:nsid w:val="2123D5F2"/>
    <w:multiLevelType w:val="hybridMultilevel"/>
    <w:lvl w:ilvl="0">
      <w:lvlJc w:val="left"/>
      <w:lvlText w:val="(%1)"/>
      <w:numFmt w:val="decimal"/>
      <w:start w:val="2"/>
    </w:lvl>
  </w:abstractNum>
  <w:abstractNum w:abstractNumId="161">
    <w:nsid w:val="135B8110"/>
    <w:multiLevelType w:val="hybridMultilevel"/>
    <w:lvl w:ilvl="0">
      <w:lvlJc w:val="left"/>
      <w:lvlText w:val="(%1)"/>
      <w:numFmt w:val="lowerRoman"/>
      <w:start w:val="1"/>
    </w:lvl>
  </w:abstractNum>
  <w:abstractNum w:abstractNumId="162">
    <w:nsid w:val="94927A8"/>
    <w:multiLevelType w:val="hybridMultilevel"/>
    <w:lvl w:ilvl="0">
      <w:lvlJc w:val="left"/>
      <w:lvlText w:val="(%1)"/>
      <w:numFmt w:val="lowerRoman"/>
      <w:start w:val="2"/>
    </w:lvl>
  </w:abstractNum>
  <w:abstractNum w:abstractNumId="163">
    <w:nsid w:val="DCDF8F6"/>
    <w:multiLevelType w:val="hybridMultilevel"/>
    <w:lvl w:ilvl="0">
      <w:lvlJc w:val="left"/>
      <w:lvlText w:val="(%1)"/>
      <w:numFmt w:val="decimal"/>
      <w:start w:val="1"/>
    </w:lvl>
  </w:abstractNum>
  <w:abstractNum w:abstractNumId="164">
    <w:nsid w:val="52D7B105"/>
    <w:multiLevelType w:val="hybridMultilevel"/>
    <w:lvl w:ilvl="0">
      <w:lvlJc w:val="left"/>
      <w:lvlText w:val="(%1)"/>
      <w:numFmt w:val="decimal"/>
      <w:start w:val="2"/>
    </w:lvl>
  </w:abstractNum>
  <w:abstractNum w:abstractNumId="165">
    <w:nsid w:val="2E8A6394"/>
    <w:multiLevelType w:val="hybridMultilevel"/>
    <w:lvl w:ilvl="0">
      <w:lvlJc w:val="left"/>
      <w:lvlText w:val="%1"/>
      <w:numFmt w:val="lowerRoman"/>
      <w:start w:val="1"/>
    </w:lvl>
    <w:lvl w:ilvl="1">
      <w:lvlJc w:val="left"/>
      <w:lvlText w:val="(%2)"/>
      <w:numFmt w:val="decimal"/>
      <w:start w:val="6"/>
    </w:lvl>
  </w:abstractNum>
  <w:abstractNum w:abstractNumId="166">
    <w:nsid w:val="24E60401"/>
    <w:multiLevelType w:val="hybridMultilevel"/>
    <w:lvl w:ilvl="0">
      <w:lvlJc w:val="left"/>
      <w:lvlText w:val="(%1)"/>
      <w:numFmt w:val="lowerRoman"/>
      <w:start w:val="2"/>
    </w:lvl>
    <w:lvl w:ilvl="1">
      <w:lvlJc w:val="left"/>
      <w:lvlText w:val="(%2)"/>
      <w:numFmt w:val="decimal"/>
      <w:start w:val="8"/>
    </w:lvl>
  </w:abstractNum>
  <w:abstractNum w:abstractNumId="167">
    <w:nsid w:val="2A6AD9BE"/>
    <w:multiLevelType w:val="hybridMultilevel"/>
    <w:lvl w:ilvl="0">
      <w:lvlJc w:val="left"/>
      <w:lvlText w:val="(%1)"/>
      <w:numFmt w:val="decimal"/>
      <w:start w:val="12"/>
    </w:lvl>
  </w:abstractNum>
  <w:abstractNum w:abstractNumId="168">
    <w:nsid w:val="BAAC1B4"/>
    <w:multiLevelType w:val="hybridMultilevel"/>
    <w:lvl w:ilvl="0">
      <w:lvlJc w:val="left"/>
      <w:lvlText w:val="(%1)"/>
      <w:numFmt w:val="decimal"/>
      <w:start w:val="1"/>
    </w:lvl>
  </w:abstractNum>
  <w:abstractNum w:abstractNumId="169">
    <w:nsid w:val="36B2ACBC"/>
    <w:multiLevelType w:val="hybridMultilevel"/>
    <w:lvl w:ilvl="0">
      <w:lvlJc w:val="left"/>
      <w:lvlText w:val="(%1)"/>
      <w:numFmt w:val="decimal"/>
      <w:start w:val="1"/>
    </w:lvl>
  </w:abstractNum>
  <w:abstractNum w:abstractNumId="170">
    <w:nsid w:val="779D8544"/>
    <w:multiLevelType w:val="hybridMultilevel"/>
    <w:lvl w:ilvl="0">
      <w:lvlJc w:val="left"/>
      <w:lvlText w:val="(%1)"/>
      <w:numFmt w:val="lowerRoman"/>
      <w:start w:val="1"/>
    </w:lvl>
  </w:abstractNum>
  <w:abstractNum w:abstractNumId="171">
    <w:nsid w:val="4AB26E78"/>
    <w:multiLevelType w:val="hybridMultilevel"/>
    <w:lvl w:ilvl="0">
      <w:lvlJc w:val="left"/>
      <w:lvlText w:val="(%1)"/>
      <w:numFmt w:val="decimal"/>
      <w:start w:val="1"/>
    </w:lvl>
  </w:abstractNum>
  <w:abstractNum w:abstractNumId="172">
    <w:nsid w:val="21FAA2FA"/>
    <w:multiLevelType w:val="hybridMultilevel"/>
    <w:lvl w:ilvl="0">
      <w:lvlJc w:val="left"/>
      <w:lvlText w:val="(%1)"/>
      <w:numFmt w:val="decimal"/>
      <w:start w:val="1"/>
    </w:lvl>
  </w:abstractNum>
  <w:abstractNum w:abstractNumId="173">
    <w:nsid w:val="5451CF49"/>
    <w:multiLevelType w:val="hybridMultilevel"/>
    <w:lvl w:ilvl="0">
      <w:lvlJc w:val="left"/>
      <w:lvlText w:val="(%1)"/>
      <w:numFmt w:val="lowerRoman"/>
      <w:start w:val="2"/>
    </w:lvl>
  </w:abstractNum>
  <w:abstractNum w:abstractNumId="174">
    <w:nsid w:val="6181EF69"/>
    <w:multiLevelType w:val="hybridMultilevel"/>
    <w:lvl w:ilvl="0">
      <w:lvlJc w:val="left"/>
      <w:lvlText w:val="%1."/>
      <w:numFmt w:val="decimal"/>
      <w:start w:val="1"/>
    </w:lvl>
  </w:abstractNum>
  <w:abstractNum w:abstractNumId="175">
    <w:nsid w:val="3E6400E6"/>
    <w:multiLevelType w:val="hybridMultilevel"/>
    <w:lvl w:ilvl="0">
      <w:lvlJc w:val="left"/>
      <w:lvlText w:val="%1."/>
      <w:numFmt w:val="decimal"/>
      <w:start w:val="4"/>
    </w:lvl>
  </w:abstractNum>
  <w:abstractNum w:abstractNumId="176">
    <w:nsid w:val="14217E23"/>
    <w:multiLevelType w:val="hybridMultilevel"/>
    <w:lvl w:ilvl="0">
      <w:lvlJc w:val="left"/>
      <w:lvlText w:val="(%1)"/>
      <w:numFmt w:val="lowerRoman"/>
      <w:start w:val="1"/>
    </w:lvl>
  </w:abstractNum>
  <w:abstractNum w:abstractNumId="177">
    <w:nsid w:val="710757D0"/>
    <w:multiLevelType w:val="hybridMultilevel"/>
    <w:lvl w:ilvl="0">
      <w:lvlJc w:val="left"/>
      <w:lvlText w:val="(%1)"/>
      <w:numFmt w:val="lowerRoman"/>
      <w:start w:val="4"/>
    </w:lvl>
  </w:abstractNum>
  <w:abstractNum w:abstractNumId="178">
    <w:nsid w:val="5015CD1A"/>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90" Type="http://schemas.openxmlformats.org/officeDocument/2006/relationships/image" Target="media/image40.png"/><Relationship Id="rId91" Type="http://schemas.openxmlformats.org/officeDocument/2006/relationships/image" Target="media/image41.png"/><Relationship Id="rId92" Type="http://schemas.openxmlformats.org/officeDocument/2006/relationships/image" Target="media/image42.jpeg"/><Relationship Id="rId93" Type="http://schemas.openxmlformats.org/officeDocument/2006/relationships/image" Target="media/image43.png"/><Relationship Id="rId94" Type="http://schemas.openxmlformats.org/officeDocument/2006/relationships/image" Target="media/image44.png"/><Relationship Id="rId95" Type="http://schemas.openxmlformats.org/officeDocument/2006/relationships/image" Target="media/image45.png"/><Relationship Id="rId96" Type="http://schemas.openxmlformats.org/officeDocument/2006/relationships/image" Target="media/image46.png"/><Relationship Id="rId97" Type="http://schemas.openxmlformats.org/officeDocument/2006/relationships/image" Target="media/image47.png"/><Relationship Id="rId98" Type="http://schemas.openxmlformats.org/officeDocument/2006/relationships/image" Target="media/image48.png"/><Relationship Id="rId102" Type="http://schemas.openxmlformats.org/officeDocument/2006/relationships/image" Target="media/image49.png"/><Relationship Id="rId103" Type="http://schemas.openxmlformats.org/officeDocument/2006/relationships/image" Target="media/image50.png"/><Relationship Id="rId104" Type="http://schemas.openxmlformats.org/officeDocument/2006/relationships/image" Target="media/image51.png"/><Relationship Id="rId105" Type="http://schemas.openxmlformats.org/officeDocument/2006/relationships/image" Target="media/image52.png"/><Relationship Id="rId106" Type="http://schemas.openxmlformats.org/officeDocument/2006/relationships/image" Target="media/image53.png"/><Relationship Id="rId107" Type="http://schemas.openxmlformats.org/officeDocument/2006/relationships/image" Target="media/image54.png"/><Relationship Id="rId108" Type="http://schemas.openxmlformats.org/officeDocument/2006/relationships/image" Target="media/image55.png"/><Relationship Id="rId109" Type="http://schemas.openxmlformats.org/officeDocument/2006/relationships/image" Target="media/image56.png"/><Relationship Id="rId110" Type="http://schemas.openxmlformats.org/officeDocument/2006/relationships/image" Target="media/image57.png"/><Relationship Id="rId111" Type="http://schemas.openxmlformats.org/officeDocument/2006/relationships/image" Target="media/image58.png"/><Relationship Id="rId112" Type="http://schemas.openxmlformats.org/officeDocument/2006/relationships/image" Target="media/image59.png"/><Relationship Id="rId113" Type="http://schemas.openxmlformats.org/officeDocument/2006/relationships/image" Target="media/image60.png"/><Relationship Id="rId114" Type="http://schemas.openxmlformats.org/officeDocument/2006/relationships/image" Target="media/image61.png"/><Relationship Id="rId115" Type="http://schemas.openxmlformats.org/officeDocument/2006/relationships/image" Target="media/image62.png"/><Relationship Id="rId116" Type="http://schemas.openxmlformats.org/officeDocument/2006/relationships/image" Target="media/image63.png"/><Relationship Id="rId117" Type="http://schemas.openxmlformats.org/officeDocument/2006/relationships/image" Target="media/image64.png"/><Relationship Id="rId118" Type="http://schemas.openxmlformats.org/officeDocument/2006/relationships/image" Target="media/image65.png"/><Relationship Id="rId119" Type="http://schemas.openxmlformats.org/officeDocument/2006/relationships/image" Target="media/image66.png"/><Relationship Id="rId120"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3" Type="http://schemas.openxmlformats.org/officeDocument/2006/relationships/image" Target="media/image70.png"/><Relationship Id="rId124" Type="http://schemas.openxmlformats.org/officeDocument/2006/relationships/image" Target="media/image71.png"/><Relationship Id="rId125"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jpe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47" Type="http://schemas.openxmlformats.org/officeDocument/2006/relationships/hyperlink" Target="http://www.sec.gov/Archives/edgar/data/1448431/000121390020007491/f10k2019_optimizerxcorp.htm" TargetMode="External"/><Relationship Id="rId48" Type="http://schemas.openxmlformats.org/officeDocument/2006/relationships/hyperlink" Target="http://www.sec.gov/Archives/edgar/data/1448431/000121390020011158/f10q0320_optimizerx.htm" TargetMode="External"/><Relationship Id="rId49" Type="http://schemas.openxmlformats.org/officeDocument/2006/relationships/hyperlink" Target="http://www.sec.gov/Archives/edgar/data/1448431/000121390020020375/f10q0620_optimizerxcorp.htm" TargetMode="External"/><Relationship Id="rId50" Type="http://schemas.openxmlformats.org/officeDocument/2006/relationships/hyperlink" Target="http://www.sec.gov/Archives/edgar/data/1448431/000121390020035891/f10q0920_optimizerx.htm" TargetMode="External"/><Relationship Id="rId51" Type="http://schemas.openxmlformats.org/officeDocument/2006/relationships/hyperlink" Target="https://www.sec.gov/Archives/edgar/data/1448431/000121390020002100/f8k012920_optimizerx.htm" TargetMode="External"/><Relationship Id="rId52" Type="http://schemas.openxmlformats.org/officeDocument/2006/relationships/hyperlink" Target="https://www.sec.gov/Archives/edgar/data/1448431/000121390020004131/f8k021820_optimizerxcorp.htm" TargetMode="External"/><Relationship Id="rId53" Type="http://schemas.openxmlformats.org/officeDocument/2006/relationships/hyperlink" Target="https://www.sec.gov/Archives/edgar/data/1448431/000121390020005137/ea119182-8k_optimizerx.htm" TargetMode="External"/><Relationship Id="rId54" Type="http://schemas.openxmlformats.org/officeDocument/2006/relationships/hyperlink" Target="https://www.sec.gov/Archives/edgar/data/1448431/000121390020005258/ea119241-8k_optimizerx.htm" TargetMode="External"/><Relationship Id="rId55" Type="http://schemas.openxmlformats.org/officeDocument/2006/relationships/hyperlink" Target="https://www.sec.gov/Archives/edgar/data/1448431/000121390020005596/ea119386-8k_optimizerxcorp.htm" TargetMode="External"/><Relationship Id="rId56" Type="http://schemas.openxmlformats.org/officeDocument/2006/relationships/hyperlink" Target="https://www.sec.gov/Archives/edgar/data/1448431/000121390020008624/ea120453-8k_optimizerx.htm" TargetMode="External"/><Relationship Id="rId57" Type="http://schemas.openxmlformats.org/officeDocument/2006/relationships/hyperlink" Target="https://www.sec.gov/Archives/edgar/data/1448431/000121390020008867/ea120541-8k_optimizerx.htm" TargetMode="External"/><Relationship Id="rId58" Type="http://schemas.openxmlformats.org/officeDocument/2006/relationships/hyperlink" Target="https://www.sec.gov/Archives/edgar/data/1448431/000121390020009488/ea120773-8k_optimizerx.htm" TargetMode="External"/><Relationship Id="rId59" Type="http://schemas.openxmlformats.org/officeDocument/2006/relationships/hyperlink" Target="https://www.sec.gov/Archives/edgar/data/1448431/000121390020009800/ea120942-8k_optimizerx.htm" TargetMode="External"/><Relationship Id="rId60" Type="http://schemas.openxmlformats.org/officeDocument/2006/relationships/hyperlink" Target="https://www.sec.gov/Archives/edgar/data/1448431/000121390020011117/ea121449-8k_optimizerxcorp.htm" TargetMode="External"/><Relationship Id="rId61" Type="http://schemas.openxmlformats.org/officeDocument/2006/relationships/hyperlink" Target="https://www.sec.gov/Archives/edgar/data/1448431/000121390020011286/ea121512-8k_optimizerx.htm" TargetMode="External"/><Relationship Id="rId62" Type="http://schemas.openxmlformats.org/officeDocument/2006/relationships/hyperlink" Target="https://www.sec.gov/Archives/edgar/data/1448431/000121390020011394/ea121560-8k_optimizerx.htm" TargetMode="External"/><Relationship Id="rId63" Type="http://schemas.openxmlformats.org/officeDocument/2006/relationships/hyperlink" Target="https://www.sec.gov/Archives/edgar/data/1448431/000121390020012040/ea121755-8k_optimizerx.htm" TargetMode="External"/><Relationship Id="rId64" Type="http://schemas.openxmlformats.org/officeDocument/2006/relationships/hyperlink" Target="https://www.sec.gov/Archives/edgar/data/1448431/000121390020012894/ea122102-8k_optimize.htm" TargetMode="External"/><Relationship Id="rId65" Type="http://schemas.openxmlformats.org/officeDocument/2006/relationships/hyperlink" Target="https://www.sec.gov/Archives/edgar/data/1448431/000121390020013773/ea122522-8k_optimizerx.htm" TargetMode="External"/><Relationship Id="rId66" Type="http://schemas.openxmlformats.org/officeDocument/2006/relationships/hyperlink" Target="https://www.sec.gov/Archives/edgar/data/1448431/000121390020014568/ea122879-8k_optimizerx.htm" TargetMode="External"/><Relationship Id="rId67" Type="http://schemas.openxmlformats.org/officeDocument/2006/relationships/hyperlink" Target="https://www.sec.gov/Archives/edgar/data/1448431/000121390020015991/ea123477-8k_optimizerx.htm" TargetMode="External"/><Relationship Id="rId68" Type="http://schemas.openxmlformats.org/officeDocument/2006/relationships/hyperlink" Target="https://www.sec.gov/Archives/edgar/data/1448431/000121390020016166/ea123605-8k_optimizerx.htm" TargetMode="External"/><Relationship Id="rId69" Type="http://schemas.openxmlformats.org/officeDocument/2006/relationships/hyperlink" Target="https://www.sec.gov/Archives/edgar/data/1448431/000121390020016870/ea123906-8k_optimizerxcorp.htm" TargetMode="External"/><Relationship Id="rId70" Type="http://schemas.openxmlformats.org/officeDocument/2006/relationships/hyperlink" Target="https://www.sec.gov/Archives/edgar/data/1448431/000121390020017235/ea124037-8k_optimizerxcorp.htm" TargetMode="External"/><Relationship Id="rId71" Type="http://schemas.openxmlformats.org/officeDocument/2006/relationships/hyperlink" Target="https://www.sec.gov/Archives/edgar/data/1448431/000121390020018238/ea124405-8k_optimizerx.htm" TargetMode="External"/><Relationship Id="rId72" Type="http://schemas.openxmlformats.org/officeDocument/2006/relationships/hyperlink" Target="https://www.sec.gov/Archives/edgar/data/1448431/000121390020018775/ea124573-8k_optimize.htm" TargetMode="External"/><Relationship Id="rId73" Type="http://schemas.openxmlformats.org/officeDocument/2006/relationships/hyperlink" Target="https://www.sec.gov/Archives/edgar/data/1448431/000121390020020802/ea125181-8k_optimizerxcorp.htm" TargetMode="External"/><Relationship Id="rId74" Type="http://schemas.openxmlformats.org/officeDocument/2006/relationships/hyperlink" Target="https://www.sec.gov/Archives/edgar/data/1448431/000121390020023057/ea125841-8k_optimizerx.htm" TargetMode="External"/><Relationship Id="rId75" Type="http://schemas.openxmlformats.org/officeDocument/2006/relationships/hyperlink" Target="https://www.sec.gov/Archives/edgar/data/1448431/000121390020023388/ea125946-8k_optimizerx.htm" TargetMode="External"/><Relationship Id="rId76" Type="http://schemas.openxmlformats.org/officeDocument/2006/relationships/hyperlink" Target="https://www.sec.gov/Archives/edgar/data/1448431/000121390020025765/ea126625-8k_optimizerx.htm" TargetMode="External"/><Relationship Id="rId77" Type="http://schemas.openxmlformats.org/officeDocument/2006/relationships/hyperlink" Target="https://www.sec.gov/Archives/edgar/data/1448431/000121390020026656/ea126880-8k_optimizerxcorp.htm" TargetMode="External"/><Relationship Id="rId78" Type="http://schemas.openxmlformats.org/officeDocument/2006/relationships/hyperlink" Target="https://www.sec.gov/Archives/edgar/data/1448431/000121390020027474/ea127136-8k_optimizerx.htm" TargetMode="External"/><Relationship Id="rId79" Type="http://schemas.openxmlformats.org/officeDocument/2006/relationships/hyperlink" Target="https://www.sec.gov/Archives/edgar/data/1448431/000121390020036386/ea129686-8k_optimizerx.htm" TargetMode="External"/><Relationship Id="rId80" Type="http://schemas.openxmlformats.org/officeDocument/2006/relationships/hyperlink" Target="https://www.sec.gov/Archives/edgar/data/1448431/000121390020037651/ea130082-8k_optimizerx.htm" TargetMode="External"/><Relationship Id="rId81" Type="http://schemas.openxmlformats.org/officeDocument/2006/relationships/hyperlink" Target="https://www.sec.gov/Archives/edgar/data/1448431/000121390020038233/ea130240-8k_optimizerx.htm" TargetMode="External"/><Relationship Id="rId82" Type="http://schemas.openxmlformats.org/officeDocument/2006/relationships/hyperlink" Target="https://www.sec.gov/Archives/edgar/data/1448431/000121390020040647/ea130832-8k_optimizerx.htm" TargetMode="External"/><Relationship Id="rId83" Type="http://schemas.openxmlformats.org/officeDocument/2006/relationships/hyperlink" Target="https://www.sec.gov/Archives/edgar/data/1448431/000121390020041251/ea131150-8k_optimizerx.htm" TargetMode="External"/><Relationship Id="rId84" Type="http://schemas.openxmlformats.org/officeDocument/2006/relationships/hyperlink" Target="https://www.sec.gov/Archives/edgar/data/1448431/000121390020041717/ea131328-8k_optimizerx.htm" TargetMode="External"/><Relationship Id="rId85" Type="http://schemas.openxmlformats.org/officeDocument/2006/relationships/hyperlink" Target="https://www.sec.gov/Archives/edgar/data/1448431/000121390020042186/ea131499-8k_optimizerx.htm" TargetMode="External"/><Relationship Id="rId86" Type="http://schemas.openxmlformats.org/officeDocument/2006/relationships/hyperlink" Target="https://www.sec.gov/Archives/edgar/data/1448431/000121390021000670/ea132830-8k_optimizerx.htm" TargetMode="External"/><Relationship Id="rId87" Type="http://schemas.openxmlformats.org/officeDocument/2006/relationships/hyperlink" Target="https://www.sec.gov/Archives/edgar/data/1448431/000121390021002572/ea133463-8k_optimizerx.htm" TargetMode="External"/><Relationship Id="rId88" Type="http://schemas.openxmlformats.org/officeDocument/2006/relationships/hyperlink" Target="https://www.sec.gov/Archives/edgar/data/1448431/000121390021003675/ea133771-8k_optimizerx.htm" TargetMode="External"/><Relationship Id="rId89" Type="http://schemas.openxmlformats.org/officeDocument/2006/relationships/hyperlink" Target="https://www.sec.gov/Archives/edgar/data/1448431/000121390018007863/f8a12b061918_optimizerx.htm" TargetMode="External"/><Relationship Id="rId99" Type="http://schemas.openxmlformats.org/officeDocument/2006/relationships/hyperlink" Target="https://www.sec.gov/Archives/edgar/data/1448431/000136110608000414/optimizerx_s1-ex0301.htm" TargetMode="External"/><Relationship Id="rId100" Type="http://schemas.openxmlformats.org/officeDocument/2006/relationships/hyperlink" Target="http://www.sec.gov/Archives/edgar/data/1448431/000125529410000605/ex3_1.htm" TargetMode="External"/><Relationship Id="rId101" Type="http://schemas.openxmlformats.org/officeDocument/2006/relationships/hyperlink" Target="https://www.sec.gov/Archives/edgar/data/1448431/000121390019003962/f10k2018ex3-5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2021-02-08T15:15:16Z</dcterms:created>
  <dcterms:modified xsi:type="dcterms:W3CDTF">2021-02-08T15:15:16Z</dcterms:modified>
</cp:coreProperties>
</file>