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19, 2020</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Nevada</w:t>
            </w:r>
          </w:p>
        </w:tc>
        <w:tc>
          <w:tcPr>
            <w:tcW w:w="3600" w:type="dxa"/>
            <w:vAlign w:val="bottom"/>
          </w:tcPr>
          <w:p>
            <w:pPr>
              <w:jc w:val="right"/>
              <w:ind w:right="1310"/>
              <w:spacing w:after="0"/>
              <w:rPr>
                <w:sz w:val="20"/>
                <w:szCs w:val="20"/>
                <w:color w:val="auto"/>
              </w:rPr>
            </w:pPr>
            <w:r>
              <w:rPr>
                <w:rFonts w:ascii="Arial" w:cs="Arial" w:eastAsia="Arial" w:hAnsi="Arial"/>
                <w:sz w:val="18"/>
                <w:szCs w:val="18"/>
                <w:color w:val="auto"/>
              </w:rPr>
              <w:t>000-53605</w:t>
            </w:r>
          </w:p>
        </w:tc>
        <w:tc>
          <w:tcPr>
            <w:tcW w:w="100" w:type="dxa"/>
            <w:vAlign w:val="bottom"/>
          </w:tcPr>
          <w:p>
            <w:pPr>
              <w:spacing w:after="0"/>
              <w:rPr>
                <w:sz w:val="20"/>
                <w:szCs w:val="20"/>
                <w:color w:val="auto"/>
              </w:rPr>
            </w:pPr>
          </w:p>
        </w:tc>
        <w:tc>
          <w:tcPr>
            <w:tcW w:w="3600" w:type="dxa"/>
            <w:vAlign w:val="bottom"/>
            <w:gridSpan w:val="2"/>
          </w:tcPr>
          <w:p>
            <w:pPr>
              <w:jc w:val="right"/>
              <w:ind w:right="1270"/>
              <w:spacing w:after="0"/>
              <w:rPr>
                <w:sz w:val="20"/>
                <w:szCs w:val="20"/>
                <w:color w:val="auto"/>
              </w:rPr>
            </w:pPr>
            <w:r>
              <w:rPr>
                <w:rFonts w:ascii="Arial" w:cs="Arial" w:eastAsia="Arial" w:hAnsi="Arial"/>
                <w:sz w:val="18"/>
                <w:szCs w:val="18"/>
                <w:color w:val="auto"/>
              </w:rPr>
              <w:t>26-1265381</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640" w:type="dxa"/>
            <w:vAlign w:val="bottom"/>
            <w:gridSpan w:val="4"/>
          </w:tcPr>
          <w:p>
            <w:pPr>
              <w:jc w:val="center"/>
              <w:spacing w:after="0"/>
              <w:rPr>
                <w:sz w:val="20"/>
                <w:szCs w:val="20"/>
                <w:color w:val="auto"/>
              </w:rPr>
            </w:pPr>
            <w:r>
              <w:rPr>
                <w:rFonts w:ascii="Arial" w:cs="Arial" w:eastAsia="Arial" w:hAnsi="Arial"/>
                <w:sz w:val="18"/>
                <w:szCs w:val="18"/>
                <w:color w:val="auto"/>
                <w:w w:val="90"/>
              </w:rPr>
              <w:t>400 Water Street, Suite 200, Rochester, MI</w:t>
            </w:r>
          </w:p>
        </w:tc>
        <w:tc>
          <w:tcPr>
            <w:tcW w:w="3600" w:type="dxa"/>
            <w:vAlign w:val="bottom"/>
            <w:gridSpan w:val="2"/>
          </w:tcPr>
          <w:p>
            <w:pPr>
              <w:jc w:val="right"/>
              <w:ind w:right="1410"/>
              <w:spacing w:after="0"/>
              <w:rPr>
                <w:sz w:val="20"/>
                <w:szCs w:val="20"/>
                <w:color w:val="auto"/>
              </w:rPr>
            </w:pPr>
            <w:r>
              <w:rPr>
                <w:rFonts w:ascii="Arial" w:cs="Arial" w:eastAsia="Arial" w:hAnsi="Arial"/>
                <w:sz w:val="18"/>
                <w:szCs w:val="18"/>
                <w:color w:val="auto"/>
              </w:rPr>
              <w:t>48307</w:t>
            </w:r>
          </w:p>
        </w:tc>
      </w:tr>
      <w:tr>
        <w:trPr>
          <w:trHeight w:val="230"/>
        </w:trPr>
        <w:tc>
          <w:tcPr>
            <w:tcW w:w="76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320" w:type="dxa"/>
            <w:vAlign w:val="bottom"/>
            <w:gridSpan w:val="3"/>
          </w:tcPr>
          <w:p>
            <w:pPr>
              <w:spacing w:after="0"/>
              <w:rPr>
                <w:sz w:val="20"/>
                <w:szCs w:val="20"/>
                <w:color w:val="auto"/>
              </w:rPr>
            </w:pPr>
            <w:r>
              <w:rPr>
                <w:rFonts w:ascii="Arial" w:cs="Arial" w:eastAsia="Arial" w:hAnsi="Arial"/>
                <w:sz w:val="18"/>
                <w:szCs w:val="18"/>
                <w:color w:val="auto"/>
                <w:w w:val="93"/>
              </w:rPr>
              <w:t>or revised financial accounting standards provided pursuant to Section 13(a) of the Exchange Act.</w:t>
            </w:r>
          </w:p>
        </w:tc>
        <w:tc>
          <w:tcPr>
            <w:tcW w:w="3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9"/>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77"/>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379"/>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19, 2020, we held our 2020 Annual Meeting of the shareholders, at which the shareholders voted on the matters disclosed in our definitive Proxy Statement on Schedule 14A filed with the Securities and Exchange Commission on October 1, 2020. The final voting results for the matters submitted to a vote of the shareholders were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1 - Election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shareholders elected the persons listed below for a one-year term expiring at our 2021 Annual Meeting or until their respective successors are duly elected and qualified: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BROKER</w:t>
            </w:r>
          </w:p>
        </w:tc>
      </w:t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FOR</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AGAINST</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WITHHELD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NON-VOTES</w:t>
            </w:r>
          </w:p>
        </w:tc>
      </w:tr>
      <w:tr>
        <w:trPr>
          <w:trHeight w:val="216"/>
        </w:trPr>
        <w:tc>
          <w:tcPr>
            <w:tcW w:w="5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Febbo</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9,256,281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64,376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1,671,583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Gus D. Halas</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5,583,058</w:t>
            </w:r>
          </w:p>
        </w:tc>
        <w:tc>
          <w:tcPr>
            <w:tcW w:w="2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89"/>
              </w:rPr>
              <w:t>3,737,599</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1,671,583</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Lynn Vos</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9,083,969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236,688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1,671,583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James Lang</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6,267,081</w:t>
            </w:r>
          </w:p>
        </w:tc>
        <w:tc>
          <w:tcPr>
            <w:tcW w:w="2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89"/>
              </w:rPr>
              <w:t>3,053,576</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1,671,583</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Spangler</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7,006,590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2,314,067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1,671,583</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Greg Wasson</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9,315,207</w:t>
            </w:r>
          </w:p>
        </w:tc>
        <w:tc>
          <w:tcPr>
            <w:tcW w:w="2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93"/>
              </w:rPr>
              <w:t>5,450</w:t>
            </w:r>
          </w:p>
        </w:tc>
        <w:tc>
          <w:tcPr>
            <w:tcW w:w="2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1,671,583</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2 – Approval of the reservation of 500,000 additional shares of common stock under our 2013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approved the addition of 500,000 shares of common stock under our 2013 Incentive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gridSpan w:val="2"/>
          </w:tcPr>
          <w:p>
            <w:pPr>
              <w:ind w:left="1180"/>
              <w:spacing w:after="0"/>
              <w:rPr>
                <w:sz w:val="20"/>
                <w:szCs w:val="20"/>
                <w:color w:val="auto"/>
              </w:rPr>
            </w:pPr>
            <w:r>
              <w:rPr>
                <w:rFonts w:ascii="Arial" w:cs="Arial" w:eastAsia="Arial" w:hAnsi="Arial"/>
                <w:sz w:val="18"/>
                <w:szCs w:val="18"/>
                <w:color w:val="auto"/>
              </w:rPr>
              <w:t>FOR</w:t>
            </w:r>
          </w:p>
        </w:tc>
        <w:tc>
          <w:tcPr>
            <w:tcW w:w="2800" w:type="dxa"/>
            <w:vAlign w:val="bottom"/>
            <w:gridSpan w:val="2"/>
          </w:tcPr>
          <w:p>
            <w:pPr>
              <w:ind w:left="900"/>
              <w:spacing w:after="0"/>
              <w:rPr>
                <w:sz w:val="20"/>
                <w:szCs w:val="20"/>
                <w:color w:val="auto"/>
              </w:rPr>
            </w:pPr>
            <w:r>
              <w:rPr>
                <w:rFonts w:ascii="Arial" w:cs="Arial" w:eastAsia="Arial" w:hAnsi="Arial"/>
                <w:sz w:val="18"/>
                <w:szCs w:val="18"/>
                <w:color w:val="auto"/>
              </w:rPr>
              <w:t>AGAINST</w:t>
            </w:r>
          </w:p>
        </w:tc>
        <w:tc>
          <w:tcPr>
            <w:tcW w:w="2800" w:type="dxa"/>
            <w:vAlign w:val="bottom"/>
            <w:gridSpan w:val="2"/>
          </w:tcPr>
          <w:p>
            <w:pPr>
              <w:ind w:left="900"/>
              <w:spacing w:after="0"/>
              <w:rPr>
                <w:sz w:val="20"/>
                <w:szCs w:val="20"/>
                <w:color w:val="auto"/>
              </w:rPr>
            </w:pPr>
            <w:r>
              <w:rPr>
                <w:rFonts w:ascii="Arial" w:cs="Arial" w:eastAsia="Arial" w:hAnsi="Arial"/>
                <w:sz w:val="18"/>
                <w:szCs w:val="18"/>
                <w:color w:val="auto"/>
              </w:rPr>
              <w:t>ABSTAIN</w:t>
            </w: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5,251,695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3,962,673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106,289</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1,671,583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3 - Ratification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ratified the appointment of UHY LLP as the Company’s independent registered public accounting firm for fiscal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AGAINST</w:t>
            </w:r>
          </w:p>
        </w:tc>
        <w:tc>
          <w:tcPr>
            <w:tcW w:w="3580" w:type="dxa"/>
            <w:vAlign w:val="bottom"/>
          </w:tcPr>
          <w:p>
            <w:pPr>
              <w:jc w:val="center"/>
              <w:spacing w:after="0"/>
              <w:rPr>
                <w:sz w:val="20"/>
                <w:szCs w:val="20"/>
                <w:color w:val="auto"/>
              </w:rPr>
            </w:pPr>
            <w:r>
              <w:rPr>
                <w:rFonts w:ascii="Arial" w:cs="Arial" w:eastAsia="Arial" w:hAnsi="Arial"/>
                <w:sz w:val="18"/>
                <w:szCs w:val="18"/>
                <w:color w:val="auto"/>
              </w:rPr>
              <w:t>ABSTAIN</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rPr>
              <w:t>10,964,884</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rPr>
              <w:t>5,532</w:t>
            </w:r>
          </w:p>
        </w:tc>
        <w:tc>
          <w:tcPr>
            <w:tcW w:w="2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rPr>
              <w:t>21,824</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2020</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2020-11-19T15:17:46Z</dcterms:created>
  <dcterms:modified xsi:type="dcterms:W3CDTF">2020-11-19T15:17:46Z</dcterms:modified>
</cp:coreProperties>
</file>