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9"/>
        <w:spacing w:after="0"/>
        <w:rPr>
          <w:sz w:val="20"/>
          <w:szCs w:val="20"/>
          <w:color w:val="auto"/>
        </w:rPr>
      </w:pPr>
      <w:r>
        <w:rPr>
          <w:rFonts w:ascii="Arial" w:cs="Arial" w:eastAsia="Arial" w:hAnsi="Arial"/>
          <w:sz w:val="18"/>
          <w:szCs w:val="18"/>
          <w:color w:val="auto"/>
        </w:rPr>
        <w:t>UNITED STATES</w:t>
      </w:r>
    </w:p>
    <w:p>
      <w:pPr>
        <w:spacing w:after="0" w:line="23" w:lineRule="exact"/>
        <w:rPr>
          <w:sz w:val="24"/>
          <w:szCs w:val="24"/>
          <w:color w:val="auto"/>
        </w:rPr>
      </w:pPr>
    </w:p>
    <w:p>
      <w:pPr>
        <w:jc w:val="center"/>
        <w:ind w:right="-599"/>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jc w:val="center"/>
        <w:ind w:right="-599"/>
        <w:spacing w:after="0"/>
        <w:rPr>
          <w:sz w:val="20"/>
          <w:szCs w:val="20"/>
          <w:color w:val="auto"/>
        </w:rPr>
      </w:pPr>
      <w:r>
        <w:rPr>
          <w:rFonts w:ascii="Arial" w:cs="Arial" w:eastAsia="Arial" w:hAnsi="Arial"/>
          <w:sz w:val="18"/>
          <w:szCs w:val="18"/>
          <w:color w:val="auto"/>
        </w:rPr>
        <w:t>Washington, D.C. 20549</w:t>
      </w:r>
    </w:p>
    <w:p>
      <w:pPr>
        <w:spacing w:after="0" w:line="211" w:lineRule="exact"/>
        <w:rPr>
          <w:sz w:val="24"/>
          <w:szCs w:val="24"/>
          <w:color w:val="auto"/>
        </w:rPr>
      </w:pPr>
    </w:p>
    <w:p>
      <w:pPr>
        <w:jc w:val="center"/>
        <w:ind w:right="-599"/>
        <w:spacing w:after="0"/>
        <w:rPr>
          <w:sz w:val="20"/>
          <w:szCs w:val="20"/>
          <w:color w:val="auto"/>
        </w:rPr>
      </w:pPr>
      <w:r>
        <w:rPr>
          <w:rFonts w:ascii="Arial" w:cs="Arial" w:eastAsia="Arial" w:hAnsi="Arial"/>
          <w:sz w:val="18"/>
          <w:szCs w:val="18"/>
          <w:color w:val="auto"/>
        </w:rPr>
        <w:t>SCHEDULE 13D</w:t>
      </w:r>
    </w:p>
    <w:p>
      <w:pPr>
        <w:spacing w:after="0" w:line="225" w:lineRule="exact"/>
        <w:rPr>
          <w:sz w:val="24"/>
          <w:szCs w:val="24"/>
          <w:color w:val="auto"/>
        </w:rPr>
      </w:pPr>
    </w:p>
    <w:p>
      <w:pPr>
        <w:ind w:left="4140"/>
        <w:spacing w:after="0"/>
        <w:rPr>
          <w:sz w:val="20"/>
          <w:szCs w:val="20"/>
          <w:color w:val="auto"/>
        </w:rPr>
      </w:pPr>
      <w:r>
        <w:rPr>
          <w:rFonts w:ascii="Arial" w:cs="Arial" w:eastAsia="Arial" w:hAnsi="Arial"/>
          <w:sz w:val="18"/>
          <w:szCs w:val="18"/>
          <w:color w:val="auto"/>
        </w:rPr>
        <w:t>Under the Securities Exchange Act of 1934</w:t>
      </w:r>
    </w:p>
    <w:p>
      <w:pPr>
        <w:spacing w:after="0" w:line="200" w:lineRule="exact"/>
        <w:rPr>
          <w:sz w:val="24"/>
          <w:szCs w:val="24"/>
          <w:color w:val="auto"/>
        </w:rPr>
      </w:pPr>
    </w:p>
    <w:p>
      <w:pPr>
        <w:spacing w:after="0" w:line="264" w:lineRule="exact"/>
        <w:rPr>
          <w:sz w:val="24"/>
          <w:szCs w:val="24"/>
          <w:color w:val="auto"/>
        </w:rPr>
      </w:pPr>
    </w:p>
    <w:p>
      <w:pPr>
        <w:jc w:val="center"/>
        <w:ind w:right="-599"/>
        <w:spacing w:after="0"/>
        <w:rPr>
          <w:sz w:val="20"/>
          <w:szCs w:val="20"/>
          <w:color w:val="auto"/>
        </w:rPr>
      </w:pPr>
      <w:r>
        <w:rPr>
          <w:rFonts w:ascii="Arial" w:cs="Arial" w:eastAsia="Arial" w:hAnsi="Arial"/>
          <w:sz w:val="18"/>
          <w:szCs w:val="18"/>
          <w:b w:val="1"/>
          <w:bCs w:val="1"/>
          <w:color w:val="auto"/>
        </w:rPr>
        <w:t>OPTIMIZERx Corp</w:t>
      </w:r>
    </w:p>
    <w:p>
      <w:pPr>
        <w:spacing w:after="0" w:line="27" w:lineRule="exact"/>
        <w:rPr>
          <w:sz w:val="24"/>
          <w:szCs w:val="24"/>
          <w:color w:val="auto"/>
        </w:rPr>
      </w:pPr>
    </w:p>
    <w:p>
      <w:pPr>
        <w:jc w:val="center"/>
        <w:ind w:right="-599"/>
        <w:spacing w:after="0"/>
        <w:rPr>
          <w:sz w:val="20"/>
          <w:szCs w:val="20"/>
          <w:color w:val="auto"/>
        </w:rPr>
      </w:pPr>
      <w:r>
        <w:rPr>
          <w:rFonts w:ascii="Arial" w:cs="Arial" w:eastAsia="Arial" w:hAnsi="Arial"/>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jc w:val="center"/>
        <w:ind w:right="-599"/>
        <w:spacing w:after="0"/>
        <w:rPr>
          <w:sz w:val="20"/>
          <w:szCs w:val="20"/>
          <w:color w:val="auto"/>
        </w:rPr>
      </w:pPr>
      <w:r>
        <w:rPr>
          <w:rFonts w:ascii="Arial" w:cs="Arial" w:eastAsia="Arial" w:hAnsi="Arial"/>
          <w:sz w:val="18"/>
          <w:szCs w:val="18"/>
          <w:b w:val="1"/>
          <w:bCs w:val="1"/>
          <w:color w:val="auto"/>
        </w:rPr>
        <w:t>COMMON STOCK, $0.001 PER SHARE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 w:lineRule="exact"/>
        <w:rPr>
          <w:sz w:val="24"/>
          <w:szCs w:val="24"/>
          <w:color w:val="auto"/>
        </w:rPr>
      </w:pPr>
    </w:p>
    <w:p>
      <w:pPr>
        <w:jc w:val="center"/>
        <w:ind w:right="-599"/>
        <w:spacing w:after="0"/>
        <w:rPr>
          <w:sz w:val="20"/>
          <w:szCs w:val="20"/>
          <w:color w:val="auto"/>
        </w:rPr>
      </w:pPr>
      <w:r>
        <w:rPr>
          <w:rFonts w:ascii="Arial" w:cs="Arial" w:eastAsia="Arial" w:hAnsi="Arial"/>
          <w:sz w:val="18"/>
          <w:szCs w:val="18"/>
          <w:color w:val="auto"/>
        </w:rPr>
        <w:t>(Title of Class of Securities)</w:t>
      </w:r>
    </w:p>
    <w:p>
      <w:pPr>
        <w:spacing w:after="0" w:line="207" w:lineRule="exact"/>
        <w:rPr>
          <w:sz w:val="24"/>
          <w:szCs w:val="24"/>
          <w:color w:val="auto"/>
        </w:rPr>
      </w:pPr>
    </w:p>
    <w:p>
      <w:pPr>
        <w:ind w:left="5260"/>
        <w:spacing w:after="0"/>
        <w:rPr>
          <w:sz w:val="20"/>
          <w:szCs w:val="20"/>
          <w:color w:val="auto"/>
        </w:rPr>
      </w:pPr>
      <w:r>
        <w:rPr>
          <w:rFonts w:ascii="Arial" w:cs="Arial" w:eastAsia="Arial" w:hAnsi="Arial"/>
          <w:sz w:val="18"/>
          <w:szCs w:val="18"/>
          <w:b w:val="1"/>
          <w:bCs w:val="1"/>
          <w:color w:val="auto"/>
        </w:rPr>
        <w:t>68401U 105</w:t>
      </w:r>
    </w:p>
    <w:p>
      <w:pPr>
        <w:spacing w:after="0" w:line="27" w:lineRule="exact"/>
        <w:rPr>
          <w:sz w:val="24"/>
          <w:szCs w:val="24"/>
          <w:color w:val="auto"/>
        </w:rPr>
      </w:pPr>
    </w:p>
    <w:p>
      <w:pPr>
        <w:ind w:left="5400"/>
        <w:spacing w:after="0"/>
        <w:rPr>
          <w:sz w:val="20"/>
          <w:szCs w:val="20"/>
          <w:color w:val="auto"/>
        </w:rPr>
      </w:pPr>
      <w:r>
        <w:rPr>
          <w:rFonts w:ascii="Arial" w:cs="Arial" w:eastAsia="Arial" w:hAnsi="Arial"/>
          <w:sz w:val="18"/>
          <w:szCs w:val="18"/>
          <w:color w:val="auto"/>
        </w:rPr>
        <w:t>(CUSIP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jc w:val="center"/>
        <w:ind w:right="-599"/>
        <w:spacing w:after="0"/>
        <w:rPr>
          <w:sz w:val="20"/>
          <w:szCs w:val="20"/>
          <w:color w:val="auto"/>
        </w:rPr>
      </w:pPr>
      <w:r>
        <w:rPr>
          <w:rFonts w:ascii="Arial" w:cs="Arial" w:eastAsia="Arial" w:hAnsi="Arial"/>
          <w:sz w:val="18"/>
          <w:szCs w:val="18"/>
          <w:b w:val="1"/>
          <w:bCs w:val="1"/>
          <w:color w:val="auto"/>
        </w:rPr>
        <w:t>Richard Kraniak</w:t>
      </w:r>
    </w:p>
    <w:p>
      <w:pPr>
        <w:spacing w:after="0" w:line="27" w:lineRule="exact"/>
        <w:rPr>
          <w:sz w:val="24"/>
          <w:szCs w:val="24"/>
          <w:color w:val="auto"/>
        </w:rPr>
      </w:pPr>
    </w:p>
    <w:p>
      <w:pPr>
        <w:jc w:val="center"/>
        <w:ind w:right="-599"/>
        <w:spacing w:after="0"/>
        <w:rPr>
          <w:sz w:val="20"/>
          <w:szCs w:val="20"/>
          <w:color w:val="auto"/>
        </w:rPr>
      </w:pPr>
      <w:r>
        <w:rPr>
          <w:rFonts w:ascii="Arial" w:cs="Arial" w:eastAsia="Arial" w:hAnsi="Arial"/>
          <w:sz w:val="18"/>
          <w:szCs w:val="18"/>
          <w:b w:val="1"/>
          <w:bCs w:val="1"/>
          <w:color w:val="auto"/>
        </w:rPr>
        <w:t>101 West Long Lake Road, Bloomfield Hills, MI 48304-2749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 w:lineRule="exact"/>
        <w:rPr>
          <w:sz w:val="24"/>
          <w:szCs w:val="24"/>
          <w:color w:val="auto"/>
        </w:rPr>
      </w:pPr>
    </w:p>
    <w:p>
      <w:pPr>
        <w:jc w:val="center"/>
        <w:ind w:right="-599"/>
        <w:spacing w:after="0"/>
        <w:rPr>
          <w:sz w:val="20"/>
          <w:szCs w:val="20"/>
          <w:color w:val="auto"/>
        </w:rPr>
      </w:pPr>
      <w:r>
        <w:rPr>
          <w:rFonts w:ascii="Arial" w:cs="Arial" w:eastAsia="Arial" w:hAnsi="Arial"/>
          <w:sz w:val="18"/>
          <w:szCs w:val="18"/>
          <w:color w:val="auto"/>
        </w:rPr>
        <w:t>(Name, Address and Telephone Number of Person Authorized to</w:t>
      </w:r>
    </w:p>
    <w:p>
      <w:pPr>
        <w:spacing w:after="0" w:line="9" w:lineRule="exact"/>
        <w:rPr>
          <w:sz w:val="24"/>
          <w:szCs w:val="24"/>
          <w:color w:val="auto"/>
        </w:rPr>
      </w:pPr>
    </w:p>
    <w:p>
      <w:pPr>
        <w:jc w:val="center"/>
        <w:ind w:right="-599"/>
        <w:spacing w:after="0"/>
        <w:rPr>
          <w:sz w:val="20"/>
          <w:szCs w:val="20"/>
          <w:color w:val="auto"/>
        </w:rPr>
      </w:pPr>
      <w:r>
        <w:rPr>
          <w:rFonts w:ascii="Arial" w:cs="Arial" w:eastAsia="Arial" w:hAnsi="Arial"/>
          <w:sz w:val="18"/>
          <w:szCs w:val="18"/>
          <w:color w:val="auto"/>
        </w:rPr>
        <w:t>Receive Notices and Communications)</w:t>
      </w:r>
    </w:p>
    <w:p>
      <w:pPr>
        <w:spacing w:after="0" w:line="207" w:lineRule="exact"/>
        <w:rPr>
          <w:sz w:val="24"/>
          <w:szCs w:val="24"/>
          <w:color w:val="auto"/>
        </w:rPr>
      </w:pPr>
    </w:p>
    <w:p>
      <w:pPr>
        <w:jc w:val="center"/>
        <w:ind w:right="-579"/>
        <w:spacing w:after="0"/>
        <w:rPr>
          <w:sz w:val="20"/>
          <w:szCs w:val="20"/>
          <w:color w:val="auto"/>
        </w:rPr>
      </w:pPr>
      <w:r>
        <w:rPr>
          <w:rFonts w:ascii="Arial" w:cs="Arial" w:eastAsia="Arial" w:hAnsi="Arial"/>
          <w:sz w:val="18"/>
          <w:szCs w:val="18"/>
          <w:b w:val="1"/>
          <w:bCs w:val="1"/>
          <w:color w:val="auto"/>
        </w:rPr>
        <w:t>December 9, 2009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8890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7" w:lineRule="exact"/>
        <w:rPr>
          <w:sz w:val="24"/>
          <w:szCs w:val="24"/>
          <w:color w:val="auto"/>
        </w:rPr>
      </w:pPr>
    </w:p>
    <w:p>
      <w:pPr>
        <w:jc w:val="center"/>
        <w:ind w:right="-599"/>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If the filing person has previously filed a statement on Schedule 13G to report the acquisition that is the subject of this Schedule 13D, and is filing this schedule because of Rule 13d-1(e), Rule 13d-1(f) or Rule 13d-1(g), check the following box.[ ]</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100330</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0840"/>
          </w:cols>
          <w:pgMar w:left="240" w:top="233" w:right="819" w:bottom="1440" w:gutter="0" w:footer="0" w:header="0"/>
        </w:sectPr>
      </w:pPr>
    </w:p>
    <w:bookmarkStart w:id="1" w:name="page2"/>
    <w:bookmarkEnd w:id="1"/>
    <w:p>
      <w:pPr>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0"/>
          <w:szCs w:val="20"/>
          <w:color w:val="auto"/>
        </w:rPr>
      </w:pPr>
    </w:p>
    <w:p>
      <w:pPr>
        <w:spacing w:after="0" w:line="342" w:lineRule="auto"/>
        <w:rPr>
          <w:sz w:val="20"/>
          <w:szCs w:val="20"/>
          <w:color w:val="auto"/>
        </w:rPr>
      </w:pPr>
      <w:r>
        <w:rPr>
          <w:rFonts w:ascii="Arial" w:cs="Arial" w:eastAsia="Arial" w:hAnsi="Arial"/>
          <w:sz w:val="16"/>
          <w:szCs w:val="16"/>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6"/>
          <w:szCs w:val="16"/>
          <w:i w:val="1"/>
          <w:iCs w:val="1"/>
          <w:color w:val="auto"/>
        </w:rPr>
        <w:t>see</w:t>
      </w:r>
      <w:r>
        <w:rPr>
          <w:rFonts w:ascii="Arial" w:cs="Arial" w:eastAsia="Arial" w:hAnsi="Arial"/>
          <w:sz w:val="16"/>
          <w:szCs w:val="16"/>
          <w:color w:val="auto"/>
        </w:rPr>
        <w:t xml:space="preserve"> the Notes).</w:t>
      </w:r>
    </w:p>
    <w:p>
      <w:pPr>
        <w:spacing w:after="0" w:line="120" w:lineRule="exact"/>
        <w:rPr>
          <w:sz w:val="20"/>
          <w:szCs w:val="20"/>
          <w:color w:val="auto"/>
        </w:rPr>
      </w:pPr>
    </w:p>
    <w:tbl>
      <w:tblPr>
        <w:tblLayout w:type="fixed"/>
        <w:tblInd w:w="100" w:type="dxa"/>
        <w:tblCellMar>
          <w:top w:w="0" w:type="dxa"/>
          <w:left w:w="0" w:type="dxa"/>
          <w:bottom w:w="0" w:type="dxa"/>
          <w:right w:w="0" w:type="dxa"/>
        </w:tblCellMar>
      </w:tblPr>
      <w:tr>
        <w:trPr>
          <w:trHeight w:val="220"/>
        </w:trPr>
        <w:tc>
          <w:tcPr>
            <w:tcW w:w="540" w:type="dxa"/>
            <w:vAlign w:val="bottom"/>
          </w:tcPr>
          <w:p>
            <w:pPr>
              <w:jc w:val="right"/>
              <w:ind w:right="310"/>
              <w:spacing w:after="0"/>
              <w:rPr>
                <w:sz w:val="20"/>
                <w:szCs w:val="20"/>
                <w:color w:val="auto"/>
              </w:rPr>
            </w:pPr>
            <w:r>
              <w:rPr>
                <w:rFonts w:ascii="Arial" w:cs="Arial" w:eastAsia="Arial" w:hAnsi="Arial"/>
                <w:sz w:val="18"/>
                <w:szCs w:val="18"/>
                <w:color w:val="auto"/>
                <w:w w:val="79"/>
              </w:rPr>
              <w:t>1.</w:t>
            </w:r>
          </w:p>
        </w:tc>
        <w:tc>
          <w:tcPr>
            <w:tcW w:w="4700" w:type="dxa"/>
            <w:vAlign w:val="bottom"/>
          </w:tcPr>
          <w:p>
            <w:pPr>
              <w:ind w:left="380"/>
              <w:spacing w:after="0"/>
              <w:rPr>
                <w:sz w:val="20"/>
                <w:szCs w:val="20"/>
                <w:color w:val="auto"/>
              </w:rPr>
            </w:pPr>
            <w:r>
              <w:rPr>
                <w:rFonts w:ascii="Arial" w:cs="Arial" w:eastAsia="Arial" w:hAnsi="Arial"/>
                <w:sz w:val="18"/>
                <w:szCs w:val="18"/>
                <w:color w:val="auto"/>
              </w:rPr>
              <w:t>Names of Reporting Persons:</w:t>
            </w:r>
          </w:p>
        </w:tc>
        <w:tc>
          <w:tcPr>
            <w:tcW w:w="1460" w:type="dxa"/>
            <w:vAlign w:val="bottom"/>
          </w:tcPr>
          <w:p>
            <w:pPr>
              <w:ind w:left="140"/>
              <w:spacing w:after="0"/>
              <w:rPr>
                <w:sz w:val="20"/>
                <w:szCs w:val="20"/>
                <w:color w:val="auto"/>
              </w:rPr>
            </w:pPr>
            <w:r>
              <w:rPr>
                <w:rFonts w:ascii="Arial" w:cs="Arial" w:eastAsia="Arial" w:hAnsi="Arial"/>
                <w:sz w:val="18"/>
                <w:szCs w:val="18"/>
                <w:b w:val="1"/>
                <w:bCs w:val="1"/>
                <w:color w:val="auto"/>
                <w:w w:val="94"/>
              </w:rPr>
              <w:t>Richard Kraniak</w:t>
            </w:r>
          </w:p>
        </w:tc>
      </w:tr>
      <w:tr>
        <w:trPr>
          <w:trHeight w:val="230"/>
        </w:trPr>
        <w:tc>
          <w:tcPr>
            <w:tcW w:w="540" w:type="dxa"/>
            <w:vAlign w:val="bottom"/>
          </w:tcPr>
          <w:p>
            <w:pPr>
              <w:spacing w:after="0"/>
              <w:rPr>
                <w:sz w:val="20"/>
                <w:szCs w:val="20"/>
                <w:color w:val="auto"/>
              </w:rPr>
            </w:pPr>
          </w:p>
        </w:tc>
        <w:tc>
          <w:tcPr>
            <w:tcW w:w="4700" w:type="dxa"/>
            <w:vAlign w:val="bottom"/>
          </w:tcPr>
          <w:p>
            <w:pPr>
              <w:ind w:left="380"/>
              <w:spacing w:after="0"/>
              <w:rPr>
                <w:sz w:val="20"/>
                <w:szCs w:val="20"/>
                <w:color w:val="auto"/>
              </w:rPr>
            </w:pPr>
            <w:r>
              <w:rPr>
                <w:rFonts w:ascii="Arial" w:cs="Arial" w:eastAsia="Arial" w:hAnsi="Arial"/>
                <w:sz w:val="18"/>
                <w:szCs w:val="18"/>
                <w:color w:val="auto"/>
                <w:w w:val="94"/>
              </w:rPr>
              <w:t>I.R.S. Identification Nos. of above persons (entities only):</w:t>
            </w:r>
          </w:p>
        </w:tc>
        <w:tc>
          <w:tcPr>
            <w:tcW w:w="1460" w:type="dxa"/>
            <w:vAlign w:val="bottom"/>
          </w:tcPr>
          <w:p>
            <w:pPr>
              <w:spacing w:after="0"/>
              <w:rPr>
                <w:sz w:val="20"/>
                <w:szCs w:val="20"/>
                <w:color w:val="auto"/>
              </w:rPr>
            </w:pPr>
          </w:p>
        </w:tc>
      </w:tr>
    </w:tbl>
    <w:p>
      <w:pPr>
        <w:ind w:left="920" w:hanging="815"/>
        <w:spacing w:after="0"/>
        <w:tabs>
          <w:tab w:leader="none" w:pos="920" w:val="left"/>
        </w:tabs>
        <w:numPr>
          <w:ilvl w:val="0"/>
          <w:numId w:val="1"/>
        </w:numPr>
        <w:rPr>
          <w:rFonts w:ascii="Arial" w:cs="Arial" w:eastAsia="Arial" w:hAnsi="Arial"/>
          <w:sz w:val="18"/>
          <w:szCs w:val="18"/>
          <w:color w:val="auto"/>
        </w:rPr>
      </w:pPr>
      <w:r>
        <w:rPr>
          <w:rFonts w:ascii="Arial" w:cs="Arial" w:eastAsia="Arial" w:hAnsi="Arial"/>
          <w:sz w:val="18"/>
          <w:szCs w:val="18"/>
          <w:color w:val="auto"/>
        </w:rPr>
        <w:t>Check the Appropriate Box if a Member of a Group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p>
      <w:pPr>
        <w:spacing w:after="0" w:line="22" w:lineRule="exact"/>
        <w:rPr>
          <w:rFonts w:ascii="Arial" w:cs="Arial" w:eastAsia="Arial" w:hAnsi="Arial"/>
          <w:sz w:val="18"/>
          <w:szCs w:val="18"/>
          <w:color w:val="auto"/>
        </w:rPr>
      </w:pPr>
    </w:p>
    <w:p>
      <w:pPr>
        <w:ind w:left="1320" w:hanging="297"/>
        <w:spacing w:after="0"/>
        <w:tabs>
          <w:tab w:leader="none" w:pos="1320" w:val="left"/>
        </w:tabs>
        <w:numPr>
          <w:ilvl w:val="1"/>
          <w:numId w:val="1"/>
        </w:numPr>
        <w:rPr>
          <w:rFonts w:ascii="Arial" w:cs="Arial" w:eastAsia="Arial" w:hAnsi="Arial"/>
          <w:sz w:val="18"/>
          <w:szCs w:val="18"/>
          <w:color w:val="auto"/>
        </w:rPr>
      </w:pPr>
      <w:r>
        <w:rPr>
          <w:rFonts w:ascii="Arial" w:cs="Arial" w:eastAsia="Arial" w:hAnsi="Arial"/>
          <w:sz w:val="18"/>
          <w:szCs w:val="18"/>
          <w:color w:val="auto"/>
        </w:rPr>
        <w:t>[ ]</w:t>
      </w:r>
    </w:p>
    <w:p>
      <w:pPr>
        <w:spacing w:after="0" w:line="9" w:lineRule="exact"/>
        <w:rPr>
          <w:rFonts w:ascii="Arial" w:cs="Arial" w:eastAsia="Arial" w:hAnsi="Arial"/>
          <w:sz w:val="18"/>
          <w:szCs w:val="18"/>
          <w:color w:val="auto"/>
        </w:rPr>
      </w:pPr>
    </w:p>
    <w:p>
      <w:pPr>
        <w:ind w:left="1320" w:hanging="297"/>
        <w:spacing w:after="0"/>
        <w:tabs>
          <w:tab w:leader="none" w:pos="1320" w:val="left"/>
        </w:tabs>
        <w:numPr>
          <w:ilvl w:val="1"/>
          <w:numId w:val="1"/>
        </w:numPr>
        <w:rPr>
          <w:rFonts w:ascii="Arial" w:cs="Arial" w:eastAsia="Arial" w:hAnsi="Arial"/>
          <w:sz w:val="18"/>
          <w:szCs w:val="18"/>
          <w:color w:val="auto"/>
        </w:rPr>
      </w:pPr>
      <w:r>
        <w:rPr>
          <w:rFonts w:ascii="Arial" w:cs="Arial" w:eastAsia="Arial" w:hAnsi="Arial"/>
          <w:sz w:val="18"/>
          <w:szCs w:val="18"/>
          <w:color w:val="auto"/>
        </w:rPr>
        <w: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-414020</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0"/>
        </w:trPr>
        <w:tc>
          <w:tcPr>
            <w:tcW w:w="68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3.</w:t>
            </w:r>
          </w:p>
        </w:tc>
        <w:tc>
          <w:tcPr>
            <w:tcW w:w="3900" w:type="dxa"/>
            <w:vAlign w:val="bottom"/>
            <w:tcBorders>
              <w:top w:val="single" w:sz="8" w:color="auto"/>
              <w:bottom w:val="single" w:sz="8" w:color="auto"/>
            </w:tcBorders>
          </w:tcPr>
          <w:p>
            <w:pPr>
              <w:ind w:left="340"/>
              <w:spacing w:after="0"/>
              <w:rPr>
                <w:sz w:val="20"/>
                <w:szCs w:val="20"/>
                <w:color w:val="auto"/>
              </w:rPr>
            </w:pPr>
            <w:r>
              <w:rPr>
                <w:rFonts w:ascii="Arial" w:cs="Arial" w:eastAsia="Arial" w:hAnsi="Arial"/>
                <w:sz w:val="18"/>
                <w:szCs w:val="18"/>
                <w:color w:val="auto"/>
              </w:rPr>
              <w:t>SEC Use Only:</w:t>
            </w:r>
          </w:p>
        </w:tc>
        <w:tc>
          <w:tcPr>
            <w:tcW w:w="6840" w:type="dxa"/>
            <w:vAlign w:val="bottom"/>
            <w:tcBorders>
              <w:top w:val="single" w:sz="8" w:color="auto"/>
              <w:bottom w:val="single" w:sz="8" w:color="auto"/>
            </w:tcBorders>
          </w:tcPr>
          <w:p>
            <w:pPr>
              <w:spacing w:after="0"/>
              <w:rPr>
                <w:sz w:val="18"/>
                <w:szCs w:val="18"/>
                <w:color w:val="auto"/>
              </w:rPr>
            </w:pPr>
          </w:p>
        </w:tc>
      </w:tr>
      <w:tr>
        <w:trPr>
          <w:trHeight w:val="191"/>
        </w:trPr>
        <w:tc>
          <w:tcPr>
            <w:tcW w:w="680" w:type="dxa"/>
            <w:vAlign w:val="bottom"/>
          </w:tcPr>
          <w:p>
            <w:pPr>
              <w:ind w:left="100"/>
              <w:spacing w:after="0" w:line="191" w:lineRule="exact"/>
              <w:rPr>
                <w:sz w:val="20"/>
                <w:szCs w:val="20"/>
                <w:color w:val="auto"/>
              </w:rPr>
            </w:pPr>
            <w:r>
              <w:rPr>
                <w:rFonts w:ascii="Arial" w:cs="Arial" w:eastAsia="Arial" w:hAnsi="Arial"/>
                <w:sz w:val="18"/>
                <w:szCs w:val="18"/>
                <w:color w:val="auto"/>
              </w:rPr>
              <w:t>4.</w:t>
            </w:r>
          </w:p>
        </w:tc>
        <w:tc>
          <w:tcPr>
            <w:tcW w:w="3900" w:type="dxa"/>
            <w:vAlign w:val="bottom"/>
          </w:tcPr>
          <w:p>
            <w:pPr>
              <w:ind w:left="340"/>
              <w:spacing w:after="0" w:line="191" w:lineRule="exact"/>
              <w:rPr>
                <w:sz w:val="20"/>
                <w:szCs w:val="20"/>
                <w:color w:val="auto"/>
              </w:rPr>
            </w:pPr>
            <w:r>
              <w:rPr>
                <w:rFonts w:ascii="Arial" w:cs="Arial" w:eastAsia="Arial" w:hAnsi="Arial"/>
                <w:sz w:val="18"/>
                <w:szCs w:val="18"/>
                <w:color w:val="auto"/>
              </w:rPr>
              <w:t>Source of Funds (See Instruction):</w:t>
            </w:r>
          </w:p>
        </w:tc>
        <w:tc>
          <w:tcPr>
            <w:tcW w:w="6840" w:type="dxa"/>
            <w:vAlign w:val="bottom"/>
          </w:tcPr>
          <w:p>
            <w:pPr>
              <w:ind w:left="900"/>
              <w:spacing w:after="0" w:line="191" w:lineRule="exact"/>
              <w:rPr>
                <w:sz w:val="20"/>
                <w:szCs w:val="20"/>
                <w:color w:val="auto"/>
              </w:rPr>
            </w:pPr>
            <w:r>
              <w:rPr>
                <w:rFonts w:ascii="Arial" w:cs="Arial" w:eastAsia="Arial" w:hAnsi="Arial"/>
                <w:sz w:val="18"/>
                <w:szCs w:val="18"/>
                <w:b w:val="1"/>
                <w:bCs w:val="1"/>
                <w:color w:val="auto"/>
              </w:rPr>
              <w:t>PF</w:t>
            </w:r>
          </w:p>
        </w:tc>
      </w:tr>
      <w:tr>
        <w:trPr>
          <w:trHeight w:val="234"/>
        </w:trPr>
        <w:tc>
          <w:tcPr>
            <w:tcW w:w="6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5.</w:t>
            </w:r>
          </w:p>
        </w:tc>
        <w:tc>
          <w:tcPr>
            <w:tcW w:w="10740" w:type="dxa"/>
            <w:vAlign w:val="bottom"/>
            <w:tcBorders>
              <w:bottom w:val="single" w:sz="8" w:color="auto"/>
            </w:tcBorders>
            <w:gridSpan w:val="2"/>
          </w:tcPr>
          <w:p>
            <w:pPr>
              <w:ind w:left="340"/>
              <w:spacing w:after="0"/>
              <w:rPr>
                <w:sz w:val="20"/>
                <w:szCs w:val="20"/>
                <w:color w:val="auto"/>
              </w:rPr>
            </w:pPr>
            <w:r>
              <w:rPr>
                <w:rFonts w:ascii="Arial" w:cs="Arial" w:eastAsia="Arial" w:hAnsi="Arial"/>
                <w:sz w:val="18"/>
                <w:szCs w:val="18"/>
                <w:color w:val="auto"/>
              </w:rPr>
              <w:t xml:space="preserve">Check if Disclosure of Legal Proceedings is Required Pursuant to Items 2(d) or 2(e): </w:t>
            </w:r>
            <w:r>
              <w:rPr>
                <w:rFonts w:ascii="Arial" w:cs="Arial" w:eastAsia="Arial" w:hAnsi="Arial"/>
                <w:sz w:val="18"/>
                <w:szCs w:val="18"/>
                <w:b w:val="1"/>
                <w:bCs w:val="1"/>
                <w:color w:val="auto"/>
              </w:rPr>
              <w:t>[ ]</w:t>
            </w:r>
          </w:p>
        </w:tc>
      </w:tr>
      <w:tr>
        <w:trPr>
          <w:trHeight w:val="210"/>
        </w:trPr>
        <w:tc>
          <w:tcPr>
            <w:tcW w:w="68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6.</w:t>
            </w:r>
          </w:p>
        </w:tc>
        <w:tc>
          <w:tcPr>
            <w:tcW w:w="3900" w:type="dxa"/>
            <w:vAlign w:val="bottom"/>
            <w:tcBorders>
              <w:bottom w:val="single" w:sz="8" w:color="auto"/>
            </w:tcBorders>
          </w:tcPr>
          <w:p>
            <w:pPr>
              <w:ind w:left="340"/>
              <w:spacing w:after="0"/>
              <w:rPr>
                <w:sz w:val="20"/>
                <w:szCs w:val="20"/>
                <w:color w:val="auto"/>
              </w:rPr>
            </w:pPr>
            <w:r>
              <w:rPr>
                <w:rFonts w:ascii="Arial" w:cs="Arial" w:eastAsia="Arial" w:hAnsi="Arial"/>
                <w:sz w:val="18"/>
                <w:szCs w:val="18"/>
                <w:color w:val="auto"/>
              </w:rPr>
              <w:t>Citizenship or Place of Organization:</w:t>
            </w:r>
          </w:p>
        </w:tc>
        <w:tc>
          <w:tcPr>
            <w:tcW w:w="6840" w:type="dxa"/>
            <w:vAlign w:val="bottom"/>
            <w:tcBorders>
              <w:bottom w:val="single" w:sz="8" w:color="auto"/>
            </w:tcBorders>
          </w:tcPr>
          <w:p>
            <w:pPr>
              <w:ind w:left="900"/>
              <w:spacing w:after="0"/>
              <w:rPr>
                <w:sz w:val="20"/>
                <w:szCs w:val="20"/>
                <w:color w:val="auto"/>
              </w:rPr>
            </w:pPr>
            <w:r>
              <w:rPr>
                <w:rFonts w:ascii="Arial" w:cs="Arial" w:eastAsia="Arial" w:hAnsi="Arial"/>
                <w:sz w:val="18"/>
                <w:szCs w:val="18"/>
                <w:b w:val="1"/>
                <w:bCs w:val="1"/>
                <w:color w:val="auto"/>
              </w:rPr>
              <w:t>Nevada</w:t>
            </w:r>
          </w:p>
        </w:tc>
      </w:tr>
      <w:tr>
        <w:trPr>
          <w:trHeight w:val="191"/>
        </w:trPr>
        <w:tc>
          <w:tcPr>
            <w:tcW w:w="11420" w:type="dxa"/>
            <w:vAlign w:val="bottom"/>
            <w:gridSpan w:val="3"/>
          </w:tcPr>
          <w:p>
            <w:pPr>
              <w:ind w:left="100"/>
              <w:spacing w:after="0" w:line="191" w:lineRule="exact"/>
              <w:rPr>
                <w:sz w:val="20"/>
                <w:szCs w:val="20"/>
                <w:color w:val="auto"/>
              </w:rPr>
            </w:pPr>
            <w:r>
              <w:rPr>
                <w:rFonts w:ascii="Arial" w:cs="Arial" w:eastAsia="Arial" w:hAnsi="Arial"/>
                <w:sz w:val="18"/>
                <w:szCs w:val="18"/>
                <w:color w:val="auto"/>
              </w:rPr>
              <w:t>Number of Shares Beneficially by Owned by Each Reporting Person With:</w:t>
            </w:r>
          </w:p>
        </w:tc>
      </w:tr>
      <w:tr>
        <w:trPr>
          <w:trHeight w:val="216"/>
        </w:trPr>
        <w:tc>
          <w:tcPr>
            <w:tcW w:w="680" w:type="dxa"/>
            <w:vAlign w:val="bottom"/>
          </w:tcPr>
          <w:p>
            <w:pPr>
              <w:ind w:left="100"/>
              <w:spacing w:after="0"/>
              <w:rPr>
                <w:sz w:val="20"/>
                <w:szCs w:val="20"/>
                <w:color w:val="auto"/>
              </w:rPr>
            </w:pPr>
            <w:r>
              <w:rPr>
                <w:rFonts w:ascii="Arial" w:cs="Arial" w:eastAsia="Arial" w:hAnsi="Arial"/>
                <w:sz w:val="18"/>
                <w:szCs w:val="18"/>
                <w:color w:val="auto"/>
              </w:rPr>
              <w:t>7.</w:t>
            </w:r>
          </w:p>
        </w:tc>
        <w:tc>
          <w:tcPr>
            <w:tcW w:w="3900" w:type="dxa"/>
            <w:vAlign w:val="bottom"/>
          </w:tcPr>
          <w:p>
            <w:pPr>
              <w:ind w:left="340"/>
              <w:spacing w:after="0"/>
              <w:rPr>
                <w:sz w:val="20"/>
                <w:szCs w:val="20"/>
                <w:color w:val="auto"/>
              </w:rPr>
            </w:pPr>
            <w:r>
              <w:rPr>
                <w:rFonts w:ascii="Arial" w:cs="Arial" w:eastAsia="Arial" w:hAnsi="Arial"/>
                <w:sz w:val="18"/>
                <w:szCs w:val="18"/>
                <w:color w:val="auto"/>
              </w:rPr>
              <w:t>Sole Voting Power:</w:t>
            </w:r>
          </w:p>
        </w:tc>
        <w:tc>
          <w:tcPr>
            <w:tcW w:w="6840" w:type="dxa"/>
            <w:vAlign w:val="bottom"/>
          </w:tcPr>
          <w:p>
            <w:pPr>
              <w:ind w:left="900"/>
              <w:spacing w:after="0"/>
              <w:rPr>
                <w:sz w:val="20"/>
                <w:szCs w:val="20"/>
                <w:color w:val="auto"/>
              </w:rPr>
            </w:pPr>
            <w:r>
              <w:rPr>
                <w:rFonts w:ascii="Arial" w:cs="Arial" w:eastAsia="Arial" w:hAnsi="Arial"/>
                <w:sz w:val="18"/>
                <w:szCs w:val="18"/>
                <w:b w:val="1"/>
                <w:bCs w:val="1"/>
                <w:color w:val="auto"/>
              </w:rPr>
              <w:t>1,351,750 SHARES</w:t>
            </w:r>
          </w:p>
        </w:tc>
      </w:tr>
      <w:tr>
        <w:trPr>
          <w:trHeight w:val="216"/>
        </w:trPr>
        <w:tc>
          <w:tcPr>
            <w:tcW w:w="680" w:type="dxa"/>
            <w:vAlign w:val="bottom"/>
          </w:tcPr>
          <w:p>
            <w:pPr>
              <w:ind w:left="100"/>
              <w:spacing w:after="0"/>
              <w:rPr>
                <w:sz w:val="20"/>
                <w:szCs w:val="20"/>
                <w:color w:val="auto"/>
              </w:rPr>
            </w:pPr>
            <w:r>
              <w:rPr>
                <w:rFonts w:ascii="Arial" w:cs="Arial" w:eastAsia="Arial" w:hAnsi="Arial"/>
                <w:sz w:val="18"/>
                <w:szCs w:val="18"/>
                <w:color w:val="auto"/>
              </w:rPr>
              <w:t>8.</w:t>
            </w:r>
          </w:p>
        </w:tc>
        <w:tc>
          <w:tcPr>
            <w:tcW w:w="3900" w:type="dxa"/>
            <w:vAlign w:val="bottom"/>
          </w:tcPr>
          <w:p>
            <w:pPr>
              <w:ind w:left="340"/>
              <w:spacing w:after="0"/>
              <w:rPr>
                <w:sz w:val="20"/>
                <w:szCs w:val="20"/>
                <w:color w:val="auto"/>
              </w:rPr>
            </w:pPr>
            <w:r>
              <w:rPr>
                <w:rFonts w:ascii="Arial" w:cs="Arial" w:eastAsia="Arial" w:hAnsi="Arial"/>
                <w:sz w:val="18"/>
                <w:szCs w:val="18"/>
                <w:color w:val="auto"/>
              </w:rPr>
              <w:t>Shared Voting Power:</w:t>
            </w:r>
          </w:p>
        </w:tc>
        <w:tc>
          <w:tcPr>
            <w:tcW w:w="6840" w:type="dxa"/>
            <w:vAlign w:val="bottom"/>
          </w:tcPr>
          <w:p>
            <w:pPr>
              <w:ind w:left="900"/>
              <w:spacing w:after="0"/>
              <w:rPr>
                <w:sz w:val="20"/>
                <w:szCs w:val="20"/>
                <w:color w:val="auto"/>
              </w:rPr>
            </w:pPr>
            <w:r>
              <w:rPr>
                <w:rFonts w:ascii="Arial" w:cs="Arial" w:eastAsia="Arial" w:hAnsi="Arial"/>
                <w:sz w:val="18"/>
                <w:szCs w:val="18"/>
                <w:b w:val="1"/>
                <w:bCs w:val="1"/>
                <w:color w:val="auto"/>
              </w:rPr>
              <w:t>N/A</w:t>
            </w:r>
          </w:p>
        </w:tc>
      </w:tr>
      <w:tr>
        <w:trPr>
          <w:trHeight w:val="216"/>
        </w:trPr>
        <w:tc>
          <w:tcPr>
            <w:tcW w:w="680" w:type="dxa"/>
            <w:vAlign w:val="bottom"/>
          </w:tcPr>
          <w:p>
            <w:pPr>
              <w:ind w:left="100"/>
              <w:spacing w:after="0"/>
              <w:rPr>
                <w:sz w:val="20"/>
                <w:szCs w:val="20"/>
                <w:color w:val="auto"/>
              </w:rPr>
            </w:pPr>
            <w:r>
              <w:rPr>
                <w:rFonts w:ascii="Arial" w:cs="Arial" w:eastAsia="Arial" w:hAnsi="Arial"/>
                <w:sz w:val="18"/>
                <w:szCs w:val="18"/>
                <w:color w:val="auto"/>
              </w:rPr>
              <w:t>9.</w:t>
            </w:r>
          </w:p>
        </w:tc>
        <w:tc>
          <w:tcPr>
            <w:tcW w:w="3900" w:type="dxa"/>
            <w:vAlign w:val="bottom"/>
          </w:tcPr>
          <w:p>
            <w:pPr>
              <w:ind w:left="340"/>
              <w:spacing w:after="0"/>
              <w:rPr>
                <w:sz w:val="20"/>
                <w:szCs w:val="20"/>
                <w:color w:val="auto"/>
              </w:rPr>
            </w:pPr>
            <w:r>
              <w:rPr>
                <w:rFonts w:ascii="Arial" w:cs="Arial" w:eastAsia="Arial" w:hAnsi="Arial"/>
                <w:sz w:val="18"/>
                <w:szCs w:val="18"/>
                <w:color w:val="auto"/>
              </w:rPr>
              <w:t>Sole Dispositive Power:</w:t>
            </w:r>
          </w:p>
        </w:tc>
        <w:tc>
          <w:tcPr>
            <w:tcW w:w="6840" w:type="dxa"/>
            <w:vAlign w:val="bottom"/>
          </w:tcPr>
          <w:p>
            <w:pPr>
              <w:ind w:left="900"/>
              <w:spacing w:after="0"/>
              <w:rPr>
                <w:sz w:val="20"/>
                <w:szCs w:val="20"/>
                <w:color w:val="auto"/>
              </w:rPr>
            </w:pPr>
            <w:r>
              <w:rPr>
                <w:rFonts w:ascii="Arial" w:cs="Arial" w:eastAsia="Arial" w:hAnsi="Arial"/>
                <w:sz w:val="18"/>
                <w:szCs w:val="18"/>
                <w:b w:val="1"/>
                <w:bCs w:val="1"/>
                <w:color w:val="auto"/>
              </w:rPr>
              <w:t>1,351,750 SHARES</w:t>
            </w:r>
          </w:p>
        </w:tc>
      </w:tr>
      <w:tr>
        <w:trPr>
          <w:trHeight w:val="234"/>
        </w:trPr>
        <w:tc>
          <w:tcPr>
            <w:tcW w:w="680" w:type="dxa"/>
            <w:vAlign w:val="bottom"/>
          </w:tcPr>
          <w:p>
            <w:pPr>
              <w:ind w:left="100"/>
              <w:spacing w:after="0"/>
              <w:rPr>
                <w:sz w:val="20"/>
                <w:szCs w:val="20"/>
                <w:color w:val="auto"/>
              </w:rPr>
            </w:pPr>
            <w:r>
              <w:rPr>
                <w:rFonts w:ascii="Arial" w:cs="Arial" w:eastAsia="Arial" w:hAnsi="Arial"/>
                <w:sz w:val="18"/>
                <w:szCs w:val="18"/>
                <w:color w:val="auto"/>
              </w:rPr>
              <w:t>10.</w:t>
            </w:r>
          </w:p>
        </w:tc>
        <w:tc>
          <w:tcPr>
            <w:tcW w:w="3900" w:type="dxa"/>
            <w:vAlign w:val="bottom"/>
          </w:tcPr>
          <w:p>
            <w:pPr>
              <w:ind w:left="340"/>
              <w:spacing w:after="0"/>
              <w:rPr>
                <w:sz w:val="20"/>
                <w:szCs w:val="20"/>
                <w:color w:val="auto"/>
              </w:rPr>
            </w:pPr>
            <w:r>
              <w:rPr>
                <w:rFonts w:ascii="Arial" w:cs="Arial" w:eastAsia="Arial" w:hAnsi="Arial"/>
                <w:sz w:val="18"/>
                <w:szCs w:val="18"/>
                <w:color w:val="auto"/>
              </w:rPr>
              <w:t>Shared Dispositive Power:</w:t>
            </w:r>
          </w:p>
        </w:tc>
        <w:tc>
          <w:tcPr>
            <w:tcW w:w="6840" w:type="dxa"/>
            <w:vAlign w:val="bottom"/>
          </w:tcPr>
          <w:p>
            <w:pPr>
              <w:ind w:left="900"/>
              <w:spacing w:after="0"/>
              <w:rPr>
                <w:sz w:val="20"/>
                <w:szCs w:val="20"/>
                <w:color w:val="auto"/>
              </w:rPr>
            </w:pPr>
            <w:r>
              <w:rPr>
                <w:rFonts w:ascii="Arial" w:cs="Arial" w:eastAsia="Arial" w:hAnsi="Arial"/>
                <w:sz w:val="18"/>
                <w:szCs w:val="18"/>
                <w:b w:val="1"/>
                <w:bCs w:val="1"/>
                <w:color w:val="auto"/>
              </w:rPr>
              <w:t>N/A</w:t>
            </w:r>
          </w:p>
        </w:tc>
      </w:tr>
    </w:tbl>
    <w:p>
      <w:pPr>
        <w:ind w:left="1020" w:hanging="915"/>
        <w:spacing w:after="0" w:line="182" w:lineRule="auto"/>
        <w:tabs>
          <w:tab w:leader="none" w:pos="1020" w:val="left"/>
        </w:tabs>
        <w:numPr>
          <w:ilvl w:val="0"/>
          <w:numId w:val="2"/>
        </w:numPr>
        <w:rPr>
          <w:rFonts w:ascii="Arial" w:cs="Arial" w:eastAsia="Arial" w:hAnsi="Arial"/>
          <w:sz w:val="31"/>
          <w:szCs w:val="31"/>
          <w:color w:val="auto"/>
          <w:vertAlign w:val="superscript"/>
        </w:rPr>
      </w:pPr>
      <w:r>
        <w:rPr>
          <w:rFonts w:ascii="Arial" w:cs="Arial" w:eastAsia="Arial" w:hAnsi="Arial"/>
          <w:sz w:val="16"/>
          <w:szCs w:val="16"/>
          <w:color w:val="auto"/>
        </w:rPr>
        <w:t xml:space="preserve">Aggregate Amount Beneficially Owned by Each Reporting Person: </w:t>
      </w:r>
      <w:r>
        <w:rPr>
          <w:rFonts w:ascii="Arial" w:cs="Arial" w:eastAsia="Arial" w:hAnsi="Arial"/>
          <w:sz w:val="16"/>
          <w:szCs w:val="16"/>
          <w:b w:val="1"/>
          <w:bCs w:val="1"/>
          <w:color w:val="auto"/>
        </w:rPr>
        <w:t>1,351,750 SHARES</w:t>
      </w:r>
      <w:r>
        <w:rPr>
          <w:rFonts w:ascii="Arial" w:cs="Arial" w:eastAsia="Arial" w:hAnsi="Arial"/>
          <w:sz w:val="16"/>
          <w:szCs w:val="16"/>
          <w:color w:val="auto"/>
        </w:rPr>
        <w:t xml:space="preserve"> </w:t>
      </w:r>
      <w:r>
        <w:rPr>
          <w:rFonts w:ascii="Arial" w:cs="Arial" w:eastAsia="Arial" w:hAnsi="Arial"/>
          <w:sz w:val="26"/>
          <w:szCs w:val="26"/>
          <w:b w:val="1"/>
          <w:bCs w:val="1"/>
          <w:color w:val="auto"/>
          <w:vertAlign w:val="superscript"/>
        </w:rPr>
        <w:t>1</w:t>
      </w:r>
    </w:p>
    <w:p>
      <w:pPr>
        <w:spacing w:after="0" w:line="1" w:lineRule="exact"/>
        <w:rPr>
          <w:rFonts w:ascii="Arial" w:cs="Arial" w:eastAsia="Arial" w:hAnsi="Arial"/>
          <w:sz w:val="31"/>
          <w:szCs w:val="31"/>
          <w:color w:val="auto"/>
          <w:vertAlign w:val="superscript"/>
        </w:rPr>
      </w:pPr>
    </w:p>
    <w:p>
      <w:pPr>
        <w:ind w:left="1580" w:right="180" w:hanging="329"/>
        <w:spacing w:after="0" w:line="249" w:lineRule="auto"/>
        <w:tabs>
          <w:tab w:leader="none" w:pos="1611" w:val="left"/>
        </w:tabs>
        <w:numPr>
          <w:ilvl w:val="1"/>
          <w:numId w:val="2"/>
        </w:numPr>
        <w:rPr>
          <w:rFonts w:ascii="Arial" w:cs="Arial" w:eastAsia="Arial" w:hAnsi="Arial"/>
          <w:sz w:val="18"/>
          <w:szCs w:val="18"/>
          <w:color w:val="auto"/>
        </w:rPr>
      </w:pPr>
      <w:r>
        <w:rPr>
          <w:rFonts w:ascii="Arial" w:cs="Arial" w:eastAsia="Arial" w:hAnsi="Arial"/>
          <w:sz w:val="18"/>
          <w:szCs w:val="18"/>
          <w:color w:val="auto"/>
        </w:rPr>
        <w:t>Of the aggregate beneficially owned by Mr. Kraniak, 28,800 shares of the Issuer are held in the name of his sons and 48,100 shares of the Issuer are held in the name of his wife.</w:t>
      </w:r>
    </w:p>
    <w:p>
      <w:pPr>
        <w:ind w:left="1020" w:hanging="915"/>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 </w:t>
      </w:r>
      <w:r>
        <w:rPr>
          <w:rFonts w:ascii="Arial" w:cs="Arial" w:eastAsia="Arial" w:hAnsi="Arial"/>
          <w:sz w:val="18"/>
          <w:szCs w:val="18"/>
          <w:b w:val="1"/>
          <w:bCs w:val="1"/>
          <w:color w:val="auto"/>
        </w:rPr>
        <w:t>[ ]</w:t>
      </w:r>
    </w:p>
    <w:p>
      <w:pPr>
        <w:spacing w:after="0" w:line="22" w:lineRule="exact"/>
        <w:rPr>
          <w:rFonts w:ascii="Arial" w:cs="Arial" w:eastAsia="Arial" w:hAnsi="Arial"/>
          <w:sz w:val="18"/>
          <w:szCs w:val="18"/>
          <w:color w:val="auto"/>
        </w:rPr>
      </w:pPr>
    </w:p>
    <w:p>
      <w:pPr>
        <w:ind w:left="1020" w:hanging="915"/>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 xml:space="preserve">Percent of Class Represented by Amount in Row (11): </w:t>
      </w:r>
      <w:r>
        <w:rPr>
          <w:rFonts w:ascii="Arial" w:cs="Arial" w:eastAsia="Arial" w:hAnsi="Arial"/>
          <w:sz w:val="18"/>
          <w:szCs w:val="18"/>
          <w:b w:val="1"/>
          <w:bCs w:val="1"/>
          <w:color w:val="auto"/>
        </w:rPr>
        <w:t>11.67%</w:t>
      </w:r>
    </w:p>
    <w:p>
      <w:pPr>
        <w:spacing w:after="0" w:line="22" w:lineRule="exact"/>
        <w:rPr>
          <w:rFonts w:ascii="Arial" w:cs="Arial" w:eastAsia="Arial" w:hAnsi="Arial"/>
          <w:sz w:val="18"/>
          <w:szCs w:val="18"/>
          <w:color w:val="auto"/>
        </w:rPr>
      </w:pPr>
    </w:p>
    <w:p>
      <w:pPr>
        <w:ind w:left="1020" w:hanging="915"/>
        <w:spacing w:after="0"/>
        <w:tabs>
          <w:tab w:leader="none" w:pos="1020" w:val="left"/>
        </w:tabs>
        <w:numPr>
          <w:ilvl w:val="0"/>
          <w:numId w:val="2"/>
        </w:numPr>
        <w:rPr>
          <w:rFonts w:ascii="Arial" w:cs="Arial" w:eastAsia="Arial" w:hAnsi="Arial"/>
          <w:sz w:val="18"/>
          <w:szCs w:val="18"/>
          <w:color w:val="auto"/>
        </w:rPr>
      </w:pPr>
      <w:r>
        <w:rPr>
          <w:rFonts w:ascii="Arial" w:cs="Arial" w:eastAsia="Arial" w:hAnsi="Arial"/>
          <w:sz w:val="18"/>
          <w:szCs w:val="18"/>
          <w:color w:val="auto"/>
        </w:rPr>
        <w:t>Type of Reporting Person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 </w:t>
      </w:r>
      <w:r>
        <w:rPr>
          <w:rFonts w:ascii="Arial" w:cs="Arial" w:eastAsia="Arial" w:hAnsi="Arial"/>
          <w:sz w:val="18"/>
          <w:szCs w:val="18"/>
          <w:b w:val="1"/>
          <w:bCs w:val="1"/>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-276860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-422275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-868045</wp:posOffset>
            </wp:positionV>
            <wp:extent cx="72466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408940</wp:posOffset>
            </wp:positionV>
            <wp:extent cx="72466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665"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ITEM 1. SECURITY AND ISSUER.</w:t>
      </w:r>
    </w:p>
    <w:p>
      <w:pPr>
        <w:spacing w:after="0" w:line="229"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This Statement on Schedule 13D relates to the common stock, par value $0.001 per share (the “Shares”), of OPTIMIZERx Corp, a Nevada Corporation (the "Issuer"), and is being filed by Richard Kraniak (the “Reporting Person”). The Issuer's current principal executive offices are located at 407 Sixth Street, Rochester, MI 48307.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29" w:lineRule="exact"/>
        <w:rPr>
          <w:sz w:val="20"/>
          <w:szCs w:val="20"/>
          <w:color w:val="auto"/>
        </w:rPr>
      </w:pPr>
    </w:p>
    <w:p>
      <w:pPr>
        <w:ind w:right="20" w:firstLine="8"/>
        <w:spacing w:after="0" w:line="277" w:lineRule="auto"/>
        <w:tabs>
          <w:tab w:leader="none" w:pos="251" w:val="left"/>
        </w:tabs>
        <w:numPr>
          <w:ilvl w:val="0"/>
          <w:numId w:val="3"/>
        </w:numPr>
        <w:rPr>
          <w:rFonts w:ascii="Arial" w:cs="Arial" w:eastAsia="Arial" w:hAnsi="Arial"/>
          <w:sz w:val="18"/>
          <w:szCs w:val="18"/>
          <w:color w:val="auto"/>
        </w:rPr>
      </w:pPr>
      <w:r>
        <w:rPr>
          <w:rFonts w:ascii="Arial" w:cs="Arial" w:eastAsia="Arial" w:hAnsi="Arial"/>
          <w:sz w:val="18"/>
          <w:szCs w:val="18"/>
          <w:color w:val="auto"/>
        </w:rPr>
        <w:t>through (c) and (f). This Statement is being filed by Richard Kraniak (the “Reporting Person”). The mailing address of the Reporting Person is 101 West Long Lake Road, Bloomfield, MI 48304-2749.</w:t>
      </w:r>
    </w:p>
    <w:p>
      <w:pPr>
        <w:spacing w:after="0" w:line="197" w:lineRule="exact"/>
        <w:rPr>
          <w:sz w:val="20"/>
          <w:szCs w:val="20"/>
          <w:color w:val="auto"/>
        </w:rPr>
      </w:pPr>
    </w:p>
    <w:p>
      <w:pPr>
        <w:jc w:val="both"/>
        <w:ind w:firstLine="8"/>
        <w:spacing w:after="0" w:line="259" w:lineRule="auto"/>
        <w:tabs>
          <w:tab w:leader="none" w:pos="271" w:val="left"/>
        </w:tabs>
        <w:numPr>
          <w:ilvl w:val="0"/>
          <w:numId w:val="4"/>
        </w:numPr>
        <w:rPr>
          <w:rFonts w:ascii="Arial" w:cs="Arial" w:eastAsia="Arial" w:hAnsi="Arial"/>
          <w:sz w:val="18"/>
          <w:szCs w:val="18"/>
          <w:color w:val="auto"/>
        </w:rPr>
      </w:pPr>
      <w:r>
        <w:rPr>
          <w:rFonts w:ascii="Arial" w:cs="Arial" w:eastAsia="Arial" w:hAnsi="Arial"/>
          <w:sz w:val="18"/>
          <w:szCs w:val="18"/>
          <w:color w:val="auto"/>
        </w:rPr>
        <w:t>and (e). During the previous five (5) years, the Reporting Person (i) has not been convicted in any criminal proceeding (excluding traffic violations or similar misdemeanors) and (ii) has not been party to a civil proceeding of any of a judicial or administrative body of competent jurisdiction such that, as a result of such proceeding, was or is subject to a judgment, decree or final order enjoining future violations of, or prohibiting or mandating activity subject to, federal or state securities laws or finding any violation with respect to such laws.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SOURCE AND AMOUNT OF FUNDS OR OTHER CONSIDERATION.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Shares to which this statement relates were purchased by Richard Kraniak with his personal funds.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TRANSACTION</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purpose of this Schedule 13D is to report the Beneficial Ownership by the Reporting Person of 1,351,750 shares or 9.52% of the Issuer’s issued and outstanding common stock as of October 6, 2011.</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Except as provided below, the Reporting Person does not have any current plans or proposals which would relate to or would result in:</w:t>
      </w:r>
    </w:p>
    <w:p>
      <w:pPr>
        <w:spacing w:after="0" w:line="225"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acquisition by any person of additional securities of the Issuer, or the disposition of securities of the Issuer;</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extraordinary corporate transaction, such as a merger, reorganization or liquidation, involving the Issuer or any of its subsidiaries;</w:t>
      </w:r>
    </w:p>
    <w:p>
      <w:pPr>
        <w:spacing w:after="0" w:line="210" w:lineRule="exact"/>
        <w:rPr>
          <w:rFonts w:ascii="Arial" w:cs="Arial" w:eastAsia="Arial" w:hAnsi="Arial"/>
          <w:sz w:val="18"/>
          <w:szCs w:val="18"/>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 sale or transfer of a material amount of the assets of the Issuer or any of its subsidiaries;</w:t>
      </w:r>
    </w:p>
    <w:p>
      <w:pPr>
        <w:spacing w:after="0" w:line="225" w:lineRule="exact"/>
        <w:rPr>
          <w:rFonts w:ascii="Arial" w:cs="Arial" w:eastAsia="Arial" w:hAnsi="Arial"/>
          <w:sz w:val="18"/>
          <w:szCs w:val="18"/>
          <w:color w:val="auto"/>
        </w:rPr>
      </w:pPr>
    </w:p>
    <w:p>
      <w:pPr>
        <w:ind w:firstLine="8"/>
        <w:spacing w:after="0" w:line="277" w:lineRule="auto"/>
        <w:tabs>
          <w:tab w:leader="none" w:pos="257"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change in the present board of directors or management of the Issuer, including any plans or proposals to change the number or term of directors or to fill any existing vacancies on the board;</w:t>
      </w:r>
    </w:p>
    <w:p>
      <w:pPr>
        <w:spacing w:after="0" w:line="170" w:lineRule="exact"/>
        <w:rPr>
          <w:rFonts w:ascii="Arial" w:cs="Arial" w:eastAsia="Arial" w:hAnsi="Arial"/>
          <w:sz w:val="18"/>
          <w:szCs w:val="18"/>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any material change in the present capitalization or dividend policy of the Issuer;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126365</wp:posOffset>
            </wp:positionV>
            <wp:extent cx="724662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661" w:right="239" w:bottom="1440" w:gutter="0" w:footer="0" w:header="0"/>
        </w:sectPr>
      </w:pPr>
    </w:p>
    <w:bookmarkStart w:id="3" w:name="page4"/>
    <w:bookmarkEnd w:id="3"/>
    <w:p>
      <w:pPr>
        <w:jc w:val="both"/>
        <w:ind w:firstLine="8"/>
        <w:spacing w:after="0" w:line="264" w:lineRule="auto"/>
        <w:tabs>
          <w:tab w:leader="none" w:pos="239"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other material change in the Issuer's business or corporate structure including, but not limited to, if the Issuer is a registered closed-end investment company, any plans or proposals to make any changes in its investment policy for which a vote is required by Section 13 of the Investment Company Act of 1940;</w:t>
      </w:r>
    </w:p>
    <w:p>
      <w:pPr>
        <w:spacing w:after="0" w:line="181" w:lineRule="exact"/>
        <w:rPr>
          <w:rFonts w:ascii="Arial" w:cs="Arial" w:eastAsia="Arial" w:hAnsi="Arial"/>
          <w:sz w:val="18"/>
          <w:szCs w:val="18"/>
          <w:color w:val="auto"/>
        </w:rPr>
      </w:pPr>
    </w:p>
    <w:p>
      <w:pPr>
        <w:ind w:firstLine="8"/>
        <w:spacing w:after="0" w:line="277" w:lineRule="auto"/>
        <w:tabs>
          <w:tab w:leader="none" w:pos="258" w:val="left"/>
        </w:tabs>
        <w:numPr>
          <w:ilvl w:val="0"/>
          <w:numId w:val="6"/>
        </w:numPr>
        <w:rPr>
          <w:rFonts w:ascii="Arial" w:cs="Arial" w:eastAsia="Arial" w:hAnsi="Arial"/>
          <w:sz w:val="18"/>
          <w:szCs w:val="18"/>
          <w:color w:val="auto"/>
        </w:rPr>
      </w:pPr>
      <w:r>
        <w:rPr>
          <w:rFonts w:ascii="Arial" w:cs="Arial" w:eastAsia="Arial" w:hAnsi="Arial"/>
          <w:sz w:val="18"/>
          <w:szCs w:val="18"/>
          <w:color w:val="auto"/>
        </w:rPr>
        <w:t>changes in the Issuer's charter, bylaws or instruments corresponding thereto or other actions which may impede acquisition of control of the Issuer by any person;</w:t>
      </w:r>
    </w:p>
    <w:p>
      <w:pPr>
        <w:spacing w:after="0" w:line="170" w:lineRule="exact"/>
        <w:rPr>
          <w:rFonts w:ascii="Arial" w:cs="Arial" w:eastAsia="Arial" w:hAnsi="Arial"/>
          <w:sz w:val="18"/>
          <w:szCs w:val="18"/>
          <w:color w:val="auto"/>
        </w:rPr>
      </w:pPr>
    </w:p>
    <w:p>
      <w:pPr>
        <w:ind w:firstLine="8"/>
        <w:spacing w:after="0" w:line="277" w:lineRule="auto"/>
        <w:tabs>
          <w:tab w:leader="none" w:pos="269" w:val="left"/>
        </w:tabs>
        <w:numPr>
          <w:ilvl w:val="0"/>
          <w:numId w:val="6"/>
        </w:numPr>
        <w:rPr>
          <w:rFonts w:ascii="Arial" w:cs="Arial" w:eastAsia="Arial" w:hAnsi="Arial"/>
          <w:sz w:val="18"/>
          <w:szCs w:val="18"/>
          <w:color w:val="auto"/>
        </w:rPr>
      </w:pPr>
      <w:r>
        <w:rPr>
          <w:rFonts w:ascii="Arial" w:cs="Arial" w:eastAsia="Arial" w:hAnsi="Arial"/>
          <w:sz w:val="18"/>
          <w:szCs w:val="18"/>
          <w:color w:val="auto"/>
        </w:rPr>
        <w:t>causing a class of securities of the Issuer to be delisted from a national securities exchange or to cease to be authorized to be quoted in an inter-dealer quotation system of a registered national securities association;</w:t>
      </w:r>
    </w:p>
    <w:p>
      <w:pPr>
        <w:spacing w:after="0" w:line="170" w:lineRule="exact"/>
        <w:rPr>
          <w:rFonts w:ascii="Arial" w:cs="Arial" w:eastAsia="Arial" w:hAnsi="Arial"/>
          <w:sz w:val="18"/>
          <w:szCs w:val="18"/>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 class of equity securities of the Issuer becoming eligible for termination of registration pursuant to Section 12(g)(4) of the Act; or</w:t>
      </w:r>
    </w:p>
    <w:p>
      <w:pPr>
        <w:spacing w:after="0" w:line="225" w:lineRule="exact"/>
        <w:rPr>
          <w:rFonts w:ascii="Arial" w:cs="Arial" w:eastAsia="Arial" w:hAnsi="Arial"/>
          <w:sz w:val="18"/>
          <w:szCs w:val="18"/>
          <w:color w:val="auto"/>
        </w:rPr>
      </w:pPr>
    </w:p>
    <w:p>
      <w:pPr>
        <w:ind w:left="220" w:hanging="212"/>
        <w:spacing w:after="0"/>
        <w:tabs>
          <w:tab w:leader="none" w:pos="22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any action similar to any of those enumerated above.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29" w:lineRule="exact"/>
        <w:rPr>
          <w:sz w:val="20"/>
          <w:szCs w:val="20"/>
          <w:color w:val="auto"/>
        </w:rPr>
      </w:pPr>
    </w:p>
    <w:p>
      <w:pPr>
        <w:ind w:left="660" w:hanging="652"/>
        <w:spacing w:after="0" w:line="277" w:lineRule="auto"/>
        <w:tabs>
          <w:tab w:leader="none" w:pos="276"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Reporting Person is currently the beneficial owner of 1,351,750 shares of Common Stock of the Issuer, representing approximately 9.52% of the Issuer's common stock (based upon 14,192,496 outstanding shares of common stock as of October 6, 2011.)</w:t>
      </w:r>
    </w:p>
    <w:p>
      <w:pPr>
        <w:spacing w:after="0" w:line="170" w:lineRule="exact"/>
        <w:rPr>
          <w:rFonts w:ascii="Arial" w:cs="Arial" w:eastAsia="Arial" w:hAnsi="Arial"/>
          <w:sz w:val="18"/>
          <w:szCs w:val="18"/>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The Reporting Person has sole voting and dispositive power over the Shares identified in response to Item 5(a) above.</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See response by Reporting Person to Item 4, above.</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5" w:lineRule="exact"/>
        <w:rPr>
          <w:rFonts w:ascii="Arial" w:cs="Arial" w:eastAsia="Arial" w:hAnsi="Arial"/>
          <w:sz w:val="18"/>
          <w:szCs w:val="18"/>
          <w:color w:val="auto"/>
        </w:rPr>
      </w:pPr>
    </w:p>
    <w:p>
      <w:pPr>
        <w:ind w:left="260" w:hanging="252"/>
        <w:spacing w:after="0"/>
        <w:tabs>
          <w:tab w:leader="none" w:pos="260" w:val="left"/>
        </w:tabs>
        <w:numPr>
          <w:ilvl w:val="0"/>
          <w:numId w:val="7"/>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Other than as described in this Schedule 13D, the Reporting Person has no contracts, arrangements, understandings or relationships with any other person with respect to any securities of the Issuer.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 TO BE FILED AS EXHIBITS.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263525</wp:posOffset>
            </wp:positionV>
            <wp:extent cx="72466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420"/>
          </w:cols>
          <w:pgMar w:left="240" w:top="665" w:right="239" w:bottom="1440" w:gutter="0" w:footer="0" w:header="0"/>
        </w:sectPr>
      </w:pPr>
    </w:p>
    <w:bookmarkStart w:id="4" w:name="page5"/>
    <w:bookmarkEnd w:id="4"/>
    <w:p>
      <w:pPr>
        <w:jc w:val="center"/>
        <w:ind w:right="-35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color w:val="auto"/>
        </w:rPr>
        <w:t>Date: October 17, 2011</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Richard Kraniak</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Richard Kraniak</w:t>
      </w:r>
    </w:p>
    <w:sectPr>
      <w:pgSz w:w="11900" w:h="16838" w:orient="portrait"/>
      <w:cols w:equalWidth="0" w:num="1">
        <w:col w:w="11060"/>
      </w:cols>
      <w:pgMar w:left="240" w:top="661"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2"/>
    </w:lvl>
    <w:lvl w:ilvl="1">
      <w:lvlJc w:val="left"/>
      <w:lvlText w:val="(%2)"/>
      <w:numFmt w:val="lowerLetter"/>
      <w:start w:val="1"/>
    </w:lvl>
  </w:abstractNum>
  <w:abstractNum w:abstractNumId="1">
    <w:nsid w:val="238E1F29"/>
    <w:multiLevelType w:val="hybridMultilevel"/>
    <w:lvl w:ilvl="0">
      <w:lvlJc w:val="left"/>
      <w:lvlText w:val="%1."/>
      <w:numFmt w:val="decimal"/>
      <w:start w:val="11"/>
    </w:lvl>
    <w:lvl w:ilvl="1">
      <w:lvlJc w:val="left"/>
      <w:lvlText w:val="%2."/>
      <w:numFmt w:val="decimal"/>
      <w:start w:val="1"/>
    </w:lvl>
  </w:abstractNum>
  <w:abstractNum w:abstractNumId="2">
    <w:nsid w:val="46E87CCD"/>
    <w:multiLevelType w:val="hybridMultilevel"/>
    <w:lvl w:ilvl="0">
      <w:lvlJc w:val="left"/>
      <w:lvlText w:val="(%1)"/>
      <w:numFmt w:val="lowerLetter"/>
      <w:start w:val="1"/>
    </w:lvl>
  </w:abstractNum>
  <w:abstractNum w:abstractNumId="3">
    <w:nsid w:val="3D1B58BA"/>
    <w:multiLevelType w:val="hybridMultilevel"/>
    <w:lvl w:ilvl="0">
      <w:lvlJc w:val="left"/>
      <w:lvlText w:val="(%1)"/>
      <w:numFmt w:val="lowerLetter"/>
      <w:start w:val="4"/>
    </w:lvl>
  </w:abstractNum>
  <w:abstractNum w:abstractNumId="4">
    <w:nsid w:val="507ED7AB"/>
    <w:multiLevelType w:val="hybridMultilevel"/>
    <w:lvl w:ilvl="0">
      <w:lvlJc w:val="left"/>
      <w:lvlText w:val="(%1)"/>
      <w:numFmt w:val="lowerLetter"/>
      <w:start w:val="1"/>
    </w:lvl>
  </w:abstractNum>
  <w:abstractNum w:abstractNumId="5">
    <w:nsid w:val="2EB141F2"/>
    <w:multiLevelType w:val="hybridMultilevel"/>
    <w:lvl w:ilvl="0">
      <w:lvlJc w:val="left"/>
      <w:lvlText w:val="(%1)"/>
      <w:numFmt w:val="lowerLetter"/>
      <w:start w:val="6"/>
    </w:lvl>
  </w:abstractNum>
  <w:abstractNum w:abstractNumId="6">
    <w:nsid w:val="41B71EFB"/>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2019-12-11T07:44:20Z</dcterms:created>
  <dcterms:modified xsi:type="dcterms:W3CDTF">2019-12-11T07:44:20Z</dcterms:modified>
</cp:coreProperties>
</file>