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56"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gridSpan w:val="7"/>
          </w:tcPr>
          <w:p>
            <w:pPr>
              <w:jc w:val="right"/>
              <w:ind w:right="1260"/>
              <w:spacing w:after="0"/>
              <w:rPr>
                <w:sz w:val="20"/>
                <w:szCs w:val="20"/>
                <w:color w:val="auto"/>
              </w:rPr>
            </w:pPr>
            <w:r>
              <w:rPr>
                <w:rFonts w:ascii="Arial" w:cs="Arial" w:eastAsia="Arial" w:hAnsi="Arial"/>
                <w:sz w:val="18"/>
                <w:szCs w:val="18"/>
                <w:color w:val="auto"/>
                <w:w w:val="92"/>
              </w:rPr>
              <w:t>For the quarterly period ended March 31, 2010</w:t>
            </w:r>
          </w:p>
        </w:tc>
      </w:tr>
      <w:tr>
        <w:trPr>
          <w:trHeight w:val="453"/>
        </w:trPr>
        <w:tc>
          <w:tcPr>
            <w:tcW w:w="3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7060" w:type="dxa"/>
            <w:vAlign w:val="bottom"/>
            <w:gridSpan w:val="6"/>
          </w:tcPr>
          <w:p>
            <w:pPr>
              <w:ind w:left="140"/>
              <w:spacing w:after="0"/>
              <w:rPr>
                <w:sz w:val="20"/>
                <w:szCs w:val="20"/>
                <w:color w:val="auto"/>
              </w:rPr>
            </w:pPr>
            <w:r>
              <w:rPr>
                <w:rFonts w:ascii="Arial" w:cs="Arial" w:eastAsia="Arial" w:hAnsi="Arial"/>
                <w:sz w:val="18"/>
                <w:szCs w:val="18"/>
                <w:color w:val="auto"/>
              </w:rPr>
              <w:t>Transition Report pursuant to 13 or 15(d) of the Securities Exchange Act of 1934</w:t>
            </w:r>
          </w:p>
        </w:tc>
        <w:tc>
          <w:tcPr>
            <w:tcW w:w="1140" w:type="dxa"/>
            <w:vAlign w:val="bottom"/>
            <w:tcBorders>
              <w:top w:val="single" w:sz="8" w:color="auto"/>
            </w:tcBorders>
            <w:gridSpan w:val="3"/>
          </w:tcPr>
          <w:p>
            <w:pPr>
              <w:spacing w:after="0"/>
              <w:rPr>
                <w:sz w:val="24"/>
                <w:szCs w:val="24"/>
                <w:color w:val="auto"/>
              </w:rPr>
            </w:pPr>
          </w:p>
        </w:tc>
        <w:tc>
          <w:tcPr>
            <w:tcW w:w="1260" w:type="dxa"/>
            <w:vAlign w:val="bottom"/>
            <w:gridSpan w:val="2"/>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80" w:type="dxa"/>
            <w:vAlign w:val="bottom"/>
            <w:gridSpan w:val="9"/>
          </w:tcPr>
          <w:p>
            <w:pPr>
              <w:jc w:val="right"/>
              <w:ind w:right="1260"/>
              <w:spacing w:after="0"/>
              <w:rPr>
                <w:sz w:val="20"/>
                <w:szCs w:val="20"/>
                <w:color w:val="auto"/>
              </w:rPr>
            </w:pPr>
            <w:r>
              <w:rPr>
                <w:rFonts w:ascii="Arial" w:cs="Arial" w:eastAsia="Arial" w:hAnsi="Arial"/>
                <w:sz w:val="18"/>
                <w:szCs w:val="18"/>
                <w:color w:val="auto"/>
              </w:rPr>
              <w:t>For the transition period from __________ to __________</w:t>
            </w:r>
          </w:p>
        </w:tc>
      </w:tr>
      <w:tr>
        <w:trPr>
          <w:trHeight w:val="392"/>
        </w:trPr>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20" w:type="dxa"/>
            <w:vAlign w:val="bottom"/>
            <w:gridSpan w:val="7"/>
          </w:tcPr>
          <w:p>
            <w:pPr>
              <w:jc w:val="right"/>
              <w:ind w:right="1260"/>
              <w:spacing w:after="0"/>
              <w:rPr>
                <w:sz w:val="20"/>
                <w:szCs w:val="20"/>
                <w:color w:val="auto"/>
              </w:rPr>
            </w:pPr>
            <w:r>
              <w:rPr>
                <w:rFonts w:ascii="Arial" w:cs="Arial" w:eastAsia="Arial" w:hAnsi="Arial"/>
                <w:sz w:val="18"/>
                <w:szCs w:val="18"/>
                <w:color w:val="auto"/>
              </w:rPr>
              <w:t>Commission File Number: 000-53605</w:t>
            </w:r>
          </w:p>
        </w:tc>
      </w:tr>
      <w:tr>
        <w:trPr>
          <w:trHeight w:val="439"/>
        </w:trPr>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OptimizeRx Corporation</w:t>
            </w:r>
          </w:p>
        </w:tc>
        <w:tc>
          <w:tcPr>
            <w:tcW w:w="1160" w:type="dxa"/>
            <w:vAlign w:val="bottom"/>
            <w:gridSpan w:val="2"/>
          </w:tcPr>
          <w:p>
            <w:pPr>
              <w:spacing w:after="0"/>
              <w:rPr>
                <w:sz w:val="24"/>
                <w:szCs w:val="24"/>
                <w:color w:val="auto"/>
              </w:rPr>
            </w:pPr>
          </w:p>
        </w:tc>
        <w:tc>
          <w:tcPr>
            <w:tcW w:w="780" w:type="dxa"/>
            <w:vAlign w:val="bottom"/>
            <w:tcBorders>
              <w:top w:val="single" w:sz="8" w:color="auto"/>
            </w:tcBorders>
            <w:gridSpan w:val="2"/>
          </w:tcPr>
          <w:p>
            <w:pPr>
              <w:spacing w:after="0"/>
              <w:rPr>
                <w:sz w:val="24"/>
                <w:szCs w:val="24"/>
                <w:color w:val="auto"/>
              </w:rPr>
            </w:pPr>
          </w:p>
        </w:tc>
        <w:tc>
          <w:tcPr>
            <w:tcW w:w="1260" w:type="dxa"/>
            <w:vAlign w:val="bottom"/>
            <w:gridSpan w:val="2"/>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80" w:type="dxa"/>
            <w:vAlign w:val="bottom"/>
            <w:gridSpan w:val="9"/>
          </w:tcPr>
          <w:p>
            <w:pPr>
              <w:jc w:val="center"/>
              <w:ind w:right="152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9"/>
        </w:trPr>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1960" w:type="dxa"/>
            <w:vAlign w:val="bottom"/>
            <w:gridSpan w:val="2"/>
          </w:tcPr>
          <w:p>
            <w:pPr>
              <w:spacing w:after="0"/>
              <w:rPr>
                <w:sz w:val="24"/>
                <w:szCs w:val="24"/>
                <w:color w:val="auto"/>
              </w:rPr>
            </w:pPr>
          </w:p>
        </w:tc>
        <w:tc>
          <w:tcPr>
            <w:tcW w:w="4720" w:type="dxa"/>
            <w:vAlign w:val="bottom"/>
            <w:gridSpan w:val="7"/>
          </w:tcPr>
          <w:p>
            <w:pPr>
              <w:jc w:val="right"/>
              <w:ind w:right="820"/>
              <w:spacing w:after="0"/>
              <w:rPr>
                <w:sz w:val="20"/>
                <w:szCs w:val="20"/>
                <w:color w:val="auto"/>
              </w:rPr>
            </w:pPr>
            <w:r>
              <w:rPr>
                <w:rFonts w:ascii="Arial" w:cs="Arial" w:eastAsia="Arial" w:hAnsi="Arial"/>
                <w:sz w:val="18"/>
                <w:szCs w:val="18"/>
                <w:color w:val="auto"/>
              </w:rPr>
              <w:t>26-1265381</w:t>
            </w:r>
          </w:p>
        </w:tc>
      </w:tr>
      <w:tr>
        <w:trPr>
          <w:trHeight w:val="20"/>
        </w:trPr>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4740" w:type="dxa"/>
            <w:vAlign w:val="bottom"/>
            <w:gridSpan w:val="4"/>
          </w:tcPr>
          <w:p>
            <w:pPr>
              <w:jc w:val="center"/>
              <w:ind w:left="1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520" w:type="dxa"/>
            <w:vAlign w:val="bottom"/>
          </w:tcPr>
          <w:p>
            <w:pPr>
              <w:spacing w:after="0"/>
              <w:rPr>
                <w:sz w:val="20"/>
                <w:szCs w:val="20"/>
                <w:color w:val="auto"/>
              </w:rPr>
            </w:pPr>
          </w:p>
        </w:tc>
        <w:tc>
          <w:tcPr>
            <w:tcW w:w="3200" w:type="dxa"/>
            <w:vAlign w:val="bottom"/>
            <w:gridSpan w:val="6"/>
          </w:tcPr>
          <w:p>
            <w:pPr>
              <w:jc w:val="center"/>
              <w:ind w:left="630"/>
              <w:spacing w:after="0"/>
              <w:rPr>
                <w:sz w:val="20"/>
                <w:szCs w:val="20"/>
                <w:color w:val="auto"/>
              </w:rPr>
            </w:pPr>
            <w:r>
              <w:rPr>
                <w:rFonts w:ascii="Arial" w:cs="Arial" w:eastAsia="Arial" w:hAnsi="Arial"/>
                <w:sz w:val="18"/>
                <w:szCs w:val="18"/>
                <w:color w:val="auto"/>
                <w:w w:val="94"/>
              </w:rPr>
              <w:t>(IRS Employer Identification No.)</w:t>
            </w:r>
          </w:p>
        </w:tc>
      </w:tr>
    </w:tbl>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407 6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jc w:val="center"/>
        <w:ind w:right="-19"/>
        <w:spacing w:after="0"/>
        <w:rPr>
          <w:sz w:val="20"/>
          <w:szCs w:val="20"/>
          <w:color w:val="auto"/>
        </w:rPr>
      </w:pPr>
      <w:r>
        <w:rPr>
          <w:rFonts w:ascii="Arial" w:cs="Arial" w:eastAsia="Arial" w:hAnsi="Arial"/>
          <w:sz w:val="18"/>
          <w:szCs w:val="18"/>
          <w:u w:val="single" w:color="auto"/>
          <w:color w:val="auto"/>
        </w:rPr>
        <w:t>Rochester, MI, 48307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248-651-6568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60;[ ] No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476" w:right="239" w:bottom="1440" w:gutter="0" w:footer="0" w:header="0"/>
        </w:sectPr>
      </w:pPr>
    </w:p>
    <w:p>
      <w:pPr>
        <w:spacing w:after="0" w:line="264" w:lineRule="exact"/>
        <w:rPr>
          <w:sz w:val="24"/>
          <w:szCs w:val="24"/>
          <w:color w:val="auto"/>
        </w:rPr>
      </w:pPr>
    </w:p>
    <w:p>
      <w:pPr>
        <w:ind w:right="190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90" w:lineRule="exact"/>
        <w:rPr>
          <w:sz w:val="24"/>
          <w:szCs w:val="24"/>
          <w:color w:val="auto"/>
        </w:rPr>
      </w:pPr>
    </w:p>
    <w:p>
      <w:pPr>
        <w:sectPr>
          <w:pgSz w:w="11900" w:h="16838" w:orient="portrait"/>
          <w:cols w:equalWidth="0" w:num="2">
            <w:col w:w="4980" w:space="720"/>
            <w:col w:w="5720"/>
          </w:cols>
          <w:pgMar w:left="240" w:top="476"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State the number of shares outstanding of each of the issuer’s classes of common stock, as of the latest practicable date: 12,881,156 as of March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481965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152400</wp:posOffset>
            </wp:positionV>
            <wp:extent cx="2023745"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454660"/>
                    </a:xfrm>
                    <a:prstGeom prst="rect">
                      <a:avLst/>
                    </a:prstGeom>
                    <a:noFill/>
                  </pic:spPr>
                </pic:pic>
              </a:graphicData>
            </a:graphic>
          </wp:anchor>
        </w:drawing>
        <w:drawing>
          <wp:anchor simplePos="0" relativeHeight="251657728" behindDoc="1" locked="0" layoutInCell="0" allowOverlap="1">
            <wp:simplePos x="0" y="0"/>
            <wp:positionH relativeFrom="column">
              <wp:posOffset>5504815</wp:posOffset>
            </wp:positionH>
            <wp:positionV relativeFrom="paragraph">
              <wp:posOffset>263525</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5504815</wp:posOffset>
            </wp:positionH>
            <wp:positionV relativeFrom="paragraph">
              <wp:posOffset>400685</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5504815</wp:posOffset>
            </wp:positionH>
            <wp:positionV relativeFrom="paragraph">
              <wp:posOffset>537845</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gridSpan w:val="4"/>
          </w:tcPr>
          <w:p>
            <w:pPr>
              <w:jc w:val="center"/>
              <w:ind w:right="280"/>
              <w:spacing w:after="0"/>
              <w:rPr>
                <w:sz w:val="20"/>
                <w:szCs w:val="20"/>
                <w:color w:val="auto"/>
              </w:rPr>
            </w:pPr>
            <w:r>
              <w:rPr>
                <w:rFonts w:ascii="Arial" w:cs="Arial" w:eastAsia="Arial" w:hAnsi="Arial"/>
                <w:sz w:val="18"/>
                <w:szCs w:val="18"/>
                <w:color w:val="auto"/>
                <w:w w:val="80"/>
              </w:rPr>
              <w:t>Page</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gridSpan w:val="12"/>
          </w:tcPr>
          <w:p>
            <w:pPr>
              <w:jc w:val="center"/>
              <w:ind w:right="1320"/>
              <w:spacing w:after="0"/>
              <w:rPr>
                <w:sz w:val="20"/>
                <w:szCs w:val="20"/>
                <w:color w:val="auto"/>
              </w:rPr>
            </w:pPr>
            <w:r>
              <w:rPr>
                <w:rFonts w:ascii="Arial" w:cs="Arial" w:eastAsia="Arial" w:hAnsi="Arial"/>
                <w:sz w:val="18"/>
                <w:szCs w:val="18"/>
                <w:color w:val="auto"/>
                <w:w w:val="98"/>
              </w:rPr>
              <w:t>PART I – FINANCIAL INFORMATION</w:t>
            </w: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28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5420" w:type="dxa"/>
            <w:vAlign w:val="bottom"/>
            <w:gridSpan w:val="16"/>
          </w:tcPr>
          <w:p>
            <w:pPr>
              <w:ind w:left="140"/>
              <w:spacing w:after="0" w:line="17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Management’s Discussion and Analysis of Financial Condition and</w:t>
              </w:r>
            </w:hyperlink>
          </w:p>
        </w:tc>
        <w:tc>
          <w:tcPr>
            <w:tcW w:w="340" w:type="dxa"/>
            <w:vAlign w:val="bottom"/>
            <w:gridSpan w:val="3"/>
          </w:tcPr>
          <w:p>
            <w:pPr>
              <w:jc w:val="center"/>
              <w:spacing w:after="0" w:line="17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4</w:t>
              </w:r>
            </w:hyperlink>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Results of Operations</w:t>
              </w:r>
            </w:hyperlink>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3:</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34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6</w:t>
              </w:r>
            </w:hyperlink>
          </w:p>
        </w:tc>
        <w:tc>
          <w:tcPr>
            <w:tcW w:w="28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0000EE"/>
            </w:tcBorders>
            <w:shd w:val="clear" w:color="auto" w:fill="CBDBD1"/>
          </w:tcPr>
          <w:p>
            <w:pPr>
              <w:spacing w:after="0" w:line="20" w:lineRule="exact"/>
              <w:rPr>
                <w:sz w:val="1"/>
                <w:szCs w:val="1"/>
                <w:color w:val="auto"/>
              </w:rPr>
            </w:pPr>
          </w:p>
        </w:tc>
        <w:tc>
          <w:tcPr>
            <w:tcW w:w="14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4T:</w:t>
              </w:r>
            </w:hyperlink>
          </w:p>
        </w:tc>
        <w:tc>
          <w:tcPr>
            <w:tcW w:w="5420" w:type="dxa"/>
            <w:vAlign w:val="bottom"/>
            <w:gridSpan w:val="16"/>
          </w:tcPr>
          <w:p>
            <w:pPr>
              <w:ind w:left="14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340" w:type="dxa"/>
            <w:vAlign w:val="bottom"/>
            <w:gridSpan w:val="3"/>
          </w:tcPr>
          <w:p>
            <w:pPr>
              <w:jc w:val="center"/>
              <w:spacing w:after="0" w:line="17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7</w:t>
              </w:r>
            </w:hyperlink>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gridSpan w:val="12"/>
          </w:tcPr>
          <w:p>
            <w:pPr>
              <w:jc w:val="center"/>
              <w:ind w:right="1320"/>
              <w:spacing w:after="0"/>
              <w:rPr>
                <w:sz w:val="20"/>
                <w:szCs w:val="20"/>
                <w:color w:val="auto"/>
              </w:rPr>
            </w:pPr>
            <w:r>
              <w:rPr>
                <w:rFonts w:ascii="Arial" w:cs="Arial" w:eastAsia="Arial" w:hAnsi="Arial"/>
                <w:sz w:val="18"/>
                <w:szCs w:val="18"/>
                <w:color w:val="auto"/>
                <w:w w:val="95"/>
              </w:rPr>
              <w:t>PART II – OTHER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1:</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34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8</w:t>
              </w:r>
            </w:hyperlink>
          </w:p>
        </w:tc>
        <w:tc>
          <w:tcPr>
            <w:tcW w:w="28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22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1A:</w:t>
              </w:r>
            </w:hyperlink>
          </w:p>
        </w:tc>
        <w:tc>
          <w:tcPr>
            <w:tcW w:w="5420" w:type="dxa"/>
            <w:vAlign w:val="bottom"/>
            <w:gridSpan w:val="16"/>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340" w:type="dxa"/>
            <w:vAlign w:val="bottom"/>
            <w:gridSpan w:val="3"/>
          </w:tcPr>
          <w:p>
            <w:pPr>
              <w:jc w:val="cente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8</w:t>
              </w:r>
            </w:hyperlink>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34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8</w:t>
              </w:r>
            </w:hyperlink>
          </w:p>
        </w:tc>
        <w:tc>
          <w:tcPr>
            <w:tcW w:w="28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0000EE"/>
            </w:tcBorders>
            <w:shd w:val="clear" w:color="auto" w:fill="CBDBD1"/>
          </w:tcPr>
          <w:p>
            <w:pPr>
              <w:spacing w:after="0" w:line="20" w:lineRule="exact"/>
              <w:rPr>
                <w:sz w:val="1"/>
                <w:szCs w:val="1"/>
                <w:color w:val="auto"/>
              </w:rPr>
            </w:pPr>
          </w:p>
        </w:tc>
        <w:tc>
          <w:tcPr>
            <w:tcW w:w="14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400" w:type="dxa"/>
            <w:vAlign w:val="bottom"/>
            <w:tcBorders>
              <w:top w:val="single" w:sz="8" w:color="0000EE"/>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5420" w:type="dxa"/>
            <w:vAlign w:val="bottom"/>
            <w:gridSpan w:val="16"/>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340" w:type="dxa"/>
            <w:vAlign w:val="bottom"/>
            <w:gridSpan w:val="3"/>
          </w:tcPr>
          <w:p>
            <w:pPr>
              <w:jc w:val="cente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8</w:t>
              </w:r>
            </w:hyperlink>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4:</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Removed and Reserved</w:t>
              </w:r>
            </w:hyperlink>
          </w:p>
        </w:tc>
        <w:tc>
          <w:tcPr>
            <w:tcW w:w="34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8</w:t>
              </w:r>
            </w:hyperlink>
          </w:p>
        </w:tc>
        <w:tc>
          <w:tcPr>
            <w:tcW w:w="28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BDBD1"/>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4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CBDBD1"/>
            </w:tcBorders>
            <w:shd w:val="clear" w:color="auto" w:fill="CBDBD1"/>
          </w:tcPr>
          <w:p>
            <w:pPr>
              <w:spacing w:after="0" w:line="20" w:lineRule="exact"/>
              <w:rPr>
                <w:sz w:val="1"/>
                <w:szCs w:val="1"/>
                <w:color w:val="auto"/>
              </w:rPr>
            </w:pPr>
          </w:p>
        </w:tc>
        <w:tc>
          <w:tcPr>
            <w:tcW w:w="600" w:type="dxa"/>
            <w:vAlign w:val="bottom"/>
            <w:tcBorders>
              <w:top w:val="single" w:sz="8" w:color="0000EE"/>
            </w:tcBorders>
            <w:shd w:val="clear" w:color="auto" w:fill="CBDBD1"/>
          </w:tcPr>
          <w:p>
            <w:pPr>
              <w:spacing w:after="0" w:line="20" w:lineRule="exact"/>
              <w:rPr>
                <w:sz w:val="1"/>
                <w:szCs w:val="1"/>
                <w:color w:val="auto"/>
              </w:rPr>
            </w:pPr>
          </w:p>
        </w:tc>
        <w:tc>
          <w:tcPr>
            <w:tcW w:w="320" w:type="dxa"/>
            <w:vAlign w:val="bottom"/>
            <w:tcBorders>
              <w:top w:val="single" w:sz="8" w:color="0000EE"/>
            </w:tcBorders>
            <w:shd w:val="clear" w:color="auto" w:fill="CBDBD1"/>
          </w:tcPr>
          <w:p>
            <w:pPr>
              <w:spacing w:after="0" w:line="20" w:lineRule="exact"/>
              <w:rPr>
                <w:sz w:val="1"/>
                <w:szCs w:val="1"/>
                <w:color w:val="auto"/>
              </w:rPr>
            </w:pPr>
          </w:p>
        </w:tc>
        <w:tc>
          <w:tcPr>
            <w:tcW w:w="60" w:type="dxa"/>
            <w:vAlign w:val="bottom"/>
            <w:tcBorders>
              <w:top w:val="single" w:sz="8" w:color="0000EE"/>
            </w:tcBorders>
            <w:shd w:val="clear" w:color="auto" w:fill="CBDBD1"/>
          </w:tcPr>
          <w:p>
            <w:pPr>
              <w:spacing w:after="0" w:line="20" w:lineRule="exact"/>
              <w:rPr>
                <w:sz w:val="1"/>
                <w:szCs w:val="1"/>
                <w:color w:val="auto"/>
              </w:rPr>
            </w:pPr>
          </w:p>
        </w:tc>
        <w:tc>
          <w:tcPr>
            <w:tcW w:w="16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20" w:type="dxa"/>
            <w:vAlign w:val="bottom"/>
            <w:tcBorders>
              <w:top w:val="single" w:sz="8" w:color="0000EE"/>
            </w:tcBorders>
            <w:shd w:val="clear" w:color="auto" w:fill="CBDBD1"/>
          </w:tcPr>
          <w:p>
            <w:pPr>
              <w:spacing w:after="0" w:line="20" w:lineRule="exact"/>
              <w:rPr>
                <w:sz w:val="1"/>
                <w:szCs w:val="1"/>
                <w:color w:val="auto"/>
              </w:rPr>
            </w:pPr>
          </w:p>
        </w:tc>
        <w:tc>
          <w:tcPr>
            <w:tcW w:w="180" w:type="dxa"/>
            <w:vAlign w:val="bottom"/>
            <w:tcBorders>
              <w:top w:val="single" w:sz="8" w:color="0000EE"/>
            </w:tcBorders>
            <w:shd w:val="clear" w:color="auto" w:fill="CBDBD1"/>
          </w:tcPr>
          <w:p>
            <w:pPr>
              <w:spacing w:after="0" w:line="20" w:lineRule="exact"/>
              <w:rPr>
                <w:sz w:val="1"/>
                <w:szCs w:val="1"/>
                <w:color w:val="auto"/>
              </w:rPr>
            </w:pPr>
          </w:p>
        </w:tc>
        <w:tc>
          <w:tcPr>
            <w:tcW w:w="40" w:type="dxa"/>
            <w:vAlign w:val="bottom"/>
            <w:tcBorders>
              <w:top w:val="single" w:sz="8" w:color="0000EE"/>
            </w:tcBorders>
            <w:shd w:val="clear" w:color="auto" w:fill="CBDBD1"/>
          </w:tcPr>
          <w:p>
            <w:pPr>
              <w:spacing w:after="0" w:line="20" w:lineRule="exact"/>
              <w:rPr>
                <w:sz w:val="1"/>
                <w:szCs w:val="1"/>
                <w:color w:val="auto"/>
              </w:rPr>
            </w:pPr>
          </w:p>
        </w:tc>
        <w:tc>
          <w:tcPr>
            <w:tcW w:w="220" w:type="dxa"/>
            <w:vAlign w:val="bottom"/>
            <w:tcBorders>
              <w:top w:val="single" w:sz="8" w:color="0000EE"/>
              <w:right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CBDBD1"/>
            </w:tcBorders>
            <w:shd w:val="clear" w:color="auto" w:fill="CBDBD1"/>
          </w:tcPr>
          <w:p>
            <w:pPr>
              <w:spacing w:after="0" w:line="20" w:lineRule="exact"/>
              <w:rPr>
                <w:sz w:val="1"/>
                <w:szCs w:val="1"/>
                <w:color w:val="auto"/>
              </w:rPr>
            </w:pPr>
          </w:p>
        </w:tc>
        <w:tc>
          <w:tcPr>
            <w:tcW w:w="146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tcBorders>
            <w:shd w:val="clear" w:color="auto" w:fill="CBDBD1"/>
          </w:tcPr>
          <w:p>
            <w:pPr>
              <w:spacing w:after="0" w:line="20" w:lineRule="exact"/>
              <w:rPr>
                <w:sz w:val="1"/>
                <w:szCs w:val="1"/>
                <w:color w:val="auto"/>
              </w:rPr>
            </w:pPr>
          </w:p>
        </w:tc>
        <w:tc>
          <w:tcPr>
            <w:tcW w:w="400" w:type="dxa"/>
            <w:vAlign w:val="bottom"/>
            <w:tcBorders>
              <w:top w:val="single" w:sz="8" w:color="CBDBD1"/>
            </w:tcBorders>
            <w:shd w:val="clear" w:color="auto" w:fill="CBDBD1"/>
          </w:tcPr>
          <w:p>
            <w:pPr>
              <w:spacing w:after="0" w:line="20" w:lineRule="exact"/>
              <w:rPr>
                <w:sz w:val="1"/>
                <w:szCs w:val="1"/>
                <w:color w:val="auto"/>
              </w:rPr>
            </w:pPr>
          </w:p>
        </w:tc>
        <w:tc>
          <w:tcPr>
            <w:tcW w:w="500" w:type="dxa"/>
            <w:vAlign w:val="bottom"/>
            <w:tcBorders>
              <w:top w:val="single" w:sz="8" w:color="CBDBD1"/>
            </w:tcBorders>
            <w:shd w:val="clear" w:color="auto" w:fill="CBDBD1"/>
          </w:tcPr>
          <w:p>
            <w:pPr>
              <w:spacing w:after="0" w:line="20" w:lineRule="exact"/>
              <w:rPr>
                <w:sz w:val="1"/>
                <w:szCs w:val="1"/>
                <w:color w:val="auto"/>
              </w:rPr>
            </w:pPr>
          </w:p>
        </w:tc>
        <w:tc>
          <w:tcPr>
            <w:tcW w:w="42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0000EE"/>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280" w:type="dxa"/>
            <w:vAlign w:val="bottom"/>
            <w:tcBorders>
              <w:top w:val="single" w:sz="8" w:color="CBDBD1"/>
            </w:tcBorders>
            <w:shd w:val="clear" w:color="auto" w:fill="CBDBD1"/>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vMerge w:val="continue"/>
          </w:tcPr>
          <w:p>
            <w:pPr>
              <w:spacing w:after="0"/>
              <w:rPr>
                <w:sz w:val="15"/>
                <w:szCs w:val="15"/>
                <w:color w:val="auto"/>
              </w:rPr>
            </w:pPr>
          </w:p>
        </w:tc>
        <w:tc>
          <w:tcPr>
            <w:tcW w:w="800" w:type="dxa"/>
            <w:vAlign w:val="bottom"/>
            <w:gridSpan w:val="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5420" w:type="dxa"/>
            <w:vAlign w:val="bottom"/>
            <w:gridSpan w:val="16"/>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340" w:type="dxa"/>
            <w:vAlign w:val="bottom"/>
            <w:gridSpan w:val="3"/>
          </w:tcPr>
          <w:p>
            <w:pPr>
              <w:jc w:val="cente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8</w:t>
              </w:r>
            </w:hyperlink>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800" w:type="dxa"/>
            <w:vAlign w:val="bottom"/>
            <w:gridSpan w:val="4"/>
            <w:shd w:val="clear" w:color="auto" w:fill="CBDBD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6:</w:t>
              </w:r>
            </w:hyperlink>
          </w:p>
        </w:tc>
        <w:tc>
          <w:tcPr>
            <w:tcW w:w="5420" w:type="dxa"/>
            <w:vAlign w:val="bottom"/>
            <w:gridSpan w:val="16"/>
            <w:shd w:val="clear" w:color="auto" w:fill="CBDBD1"/>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340" w:type="dxa"/>
            <w:vAlign w:val="bottom"/>
            <w:gridSpan w:val="3"/>
            <w:shd w:val="clear" w:color="auto" w:fill="CBDBD1"/>
          </w:tcPr>
          <w:p>
            <w:pPr>
              <w:jc w:val="center"/>
              <w:spacing w:after="0" w:line="176"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8</w:t>
              </w:r>
            </w:hyperlink>
          </w:p>
        </w:tc>
        <w:tc>
          <w:tcPr>
            <w:tcW w:w="280" w:type="dxa"/>
            <w:vAlign w:val="bottom"/>
            <w:shd w:val="clear" w:color="auto" w:fill="CBDBD1"/>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3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CBDBD1"/>
            </w:tcBorders>
          </w:tcPr>
          <w:p>
            <w:pPr>
              <w:spacing w:after="0"/>
              <w:rPr>
                <w:sz w:val="24"/>
                <w:szCs w:val="24"/>
                <w:color w:val="auto"/>
              </w:rPr>
            </w:pPr>
          </w:p>
        </w:tc>
        <w:tc>
          <w:tcPr>
            <w:tcW w:w="40" w:type="dxa"/>
            <w:vAlign w:val="bottom"/>
            <w:tcBorders>
              <w:top w:val="single" w:sz="8" w:color="CBDBD1"/>
            </w:tcBorders>
          </w:tcPr>
          <w:p>
            <w:pPr>
              <w:spacing w:after="0"/>
              <w:rPr>
                <w:sz w:val="24"/>
                <w:szCs w:val="24"/>
                <w:color w:val="auto"/>
              </w:rPr>
            </w:pPr>
          </w:p>
        </w:tc>
        <w:tc>
          <w:tcPr>
            <w:tcW w:w="160" w:type="dxa"/>
            <w:vAlign w:val="bottom"/>
            <w:tcBorders>
              <w:top w:val="single" w:sz="8" w:color="CBDBD1"/>
            </w:tcBorders>
          </w:tcPr>
          <w:p>
            <w:pPr>
              <w:spacing w:after="0"/>
              <w:rPr>
                <w:sz w:val="24"/>
                <w:szCs w:val="24"/>
                <w:color w:val="auto"/>
              </w:rPr>
            </w:pPr>
          </w:p>
        </w:tc>
        <w:tc>
          <w:tcPr>
            <w:tcW w:w="140" w:type="dxa"/>
            <w:vAlign w:val="bottom"/>
            <w:tcBorders>
              <w:top w:val="single" w:sz="8" w:color="CBDBD1"/>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0" w:type="dxa"/>
            <w:vAlign w:val="bottom"/>
            <w:tcBorders>
              <w:top w:val="single" w:sz="8" w:color="CBDBD1"/>
            </w:tcBorders>
            <w:gridSpan w:val="10"/>
          </w:tcPr>
          <w:p>
            <w:pPr>
              <w:jc w:val="center"/>
              <w:ind w:left="450"/>
              <w:spacing w:after="0"/>
              <w:rPr>
                <w:sz w:val="20"/>
                <w:szCs w:val="20"/>
                <w:color w:val="auto"/>
              </w:rPr>
            </w:pPr>
            <w:r>
              <w:rPr>
                <w:rFonts w:ascii="Arial" w:cs="Arial" w:eastAsia="Arial" w:hAnsi="Arial"/>
                <w:sz w:val="18"/>
                <w:szCs w:val="18"/>
                <w:color w:val="auto"/>
                <w:w w:val="99"/>
              </w:rPr>
              <w:t>2</w:t>
            </w:r>
          </w:p>
        </w:tc>
        <w:tc>
          <w:tcPr>
            <w:tcW w:w="160" w:type="dxa"/>
            <w:vAlign w:val="bottom"/>
            <w:tcBorders>
              <w:top w:val="single" w:sz="8" w:color="CBDBD1"/>
            </w:tcBorders>
          </w:tcPr>
          <w:p>
            <w:pPr>
              <w:spacing w:after="0"/>
              <w:rPr>
                <w:sz w:val="24"/>
                <w:szCs w:val="24"/>
                <w:color w:val="auto"/>
              </w:rPr>
            </w:pPr>
          </w:p>
        </w:tc>
        <w:tc>
          <w:tcPr>
            <w:tcW w:w="400" w:type="dxa"/>
            <w:vAlign w:val="bottom"/>
            <w:tcBorders>
              <w:top w:val="single" w:sz="8" w:color="CBDBD1"/>
            </w:tcBorders>
          </w:tcPr>
          <w:p>
            <w:pPr>
              <w:spacing w:after="0"/>
              <w:rPr>
                <w:sz w:val="24"/>
                <w:szCs w:val="24"/>
                <w:color w:val="auto"/>
              </w:rPr>
            </w:pPr>
          </w:p>
        </w:tc>
        <w:tc>
          <w:tcPr>
            <w:tcW w:w="500" w:type="dxa"/>
            <w:vAlign w:val="bottom"/>
            <w:tcBorders>
              <w:top w:val="single" w:sz="8" w:color="CBDBD1"/>
            </w:tcBorders>
          </w:tcPr>
          <w:p>
            <w:pPr>
              <w:spacing w:after="0"/>
              <w:rPr>
                <w:sz w:val="24"/>
                <w:szCs w:val="24"/>
                <w:color w:val="auto"/>
              </w:rPr>
            </w:pPr>
          </w:p>
        </w:tc>
        <w:tc>
          <w:tcPr>
            <w:tcW w:w="420" w:type="dxa"/>
            <w:vAlign w:val="bottom"/>
            <w:tcBorders>
              <w:top w:val="single" w:sz="8" w:color="CBDBD1"/>
            </w:tcBorders>
          </w:tcPr>
          <w:p>
            <w:pPr>
              <w:spacing w:after="0"/>
              <w:rPr>
                <w:sz w:val="24"/>
                <w:szCs w:val="24"/>
                <w:color w:val="auto"/>
              </w:rPr>
            </w:pPr>
          </w:p>
        </w:tc>
        <w:tc>
          <w:tcPr>
            <w:tcW w:w="120" w:type="dxa"/>
            <w:vAlign w:val="bottom"/>
            <w:tcBorders>
              <w:top w:val="single" w:sz="8" w:color="CBDBD1"/>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CBDBD1"/>
            </w:tcBorders>
          </w:tcPr>
          <w:p>
            <w:pPr>
              <w:spacing w:after="0"/>
              <w:rPr>
                <w:sz w:val="24"/>
                <w:szCs w:val="24"/>
                <w:color w:val="auto"/>
              </w:rPr>
            </w:pPr>
          </w:p>
        </w:tc>
        <w:tc>
          <w:tcPr>
            <w:tcW w:w="280" w:type="dxa"/>
            <w:vAlign w:val="bottom"/>
            <w:tcBorders>
              <w:top w:val="single" w:sz="8" w:color="CBDBD1"/>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52" w:lineRule="exact"/>
        <w:rPr>
          <w:sz w:val="20"/>
          <w:szCs w:val="20"/>
          <w:color w:val="auto"/>
        </w:rPr>
      </w:pPr>
    </w:p>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F-1 Consolidated Balance Sheets as of March 31, 2010 (unaudited) and December 31, 2009 (audited);</w:t>
        </w:r>
      </w:hyperlink>
    </w:p>
    <w:p>
      <w:pPr>
        <w:spacing w:after="0" w:line="252" w:lineRule="exact"/>
        <w:rPr>
          <w:sz w:val="20"/>
          <w:szCs w:val="20"/>
          <w:color w:val="auto"/>
        </w:rPr>
      </w:pPr>
    </w:p>
    <w:p>
      <w:pPr>
        <w:ind w:left="660" w:hanging="339"/>
        <w:spacing w:after="0" w:line="277"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F-2 Unaudited Consolidated Statements of Operations for the three months ended March 31, 2010 and 2009 and for the period from January 31, 2006</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(Inception) to March 31, 2010;</w:t>
        </w:r>
      </w:hyperlink>
    </w:p>
    <w:p>
      <w:pPr>
        <w:spacing w:after="0" w:line="197" w:lineRule="exact"/>
        <w:rPr>
          <w:sz w:val="20"/>
          <w:szCs w:val="20"/>
          <w:color w:val="auto"/>
        </w:rPr>
      </w:pPr>
    </w:p>
    <w:p>
      <w:pPr>
        <w:ind w:left="3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F-3 Consolidated Statement of Stockholders’ Equity (unaudited) for the period from January 1, 2009 to March 31, 2010</w:t>
        </w:r>
      </w:hyperlink>
    </w:p>
    <w:p>
      <w:pPr>
        <w:spacing w:after="0" w:line="252" w:lineRule="exact"/>
        <w:rPr>
          <w:sz w:val="20"/>
          <w:szCs w:val="20"/>
          <w:color w:val="auto"/>
        </w:rPr>
      </w:pPr>
    </w:p>
    <w:p>
      <w:pPr>
        <w:ind w:left="660" w:hanging="339"/>
        <w:spacing w:after="0" w:line="277"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F-4 Unaudited Consolidated Statements of Cash Flow for the three months ended March 31, 2010 and 2009 and for the period from January 31, 2006</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(Inception) to March 31, 2010;</w:t>
        </w:r>
      </w:hyperlink>
    </w:p>
    <w:p>
      <w:pPr>
        <w:spacing w:after="0" w:line="197" w:lineRule="exact"/>
        <w:rPr>
          <w:sz w:val="20"/>
          <w:szCs w:val="20"/>
          <w:color w:val="auto"/>
        </w:rPr>
      </w:pPr>
    </w:p>
    <w:p>
      <w:pPr>
        <w:ind w:left="3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F-5 Notes to Consolidated Financial Statements.</w:t>
        </w:r>
      </w:hyperlink>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2010 are not necessarily indicative of the results that can be expected for the full year.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MARCH 31, 2010 AND DECEMBER 31, 2009</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ind w:left="166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March 31, 2010</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(Audited)</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BDBD1"/>
          </w:tcPr>
          <w:p>
            <w:pPr>
              <w:ind w:left="4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371,412</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BDBD1"/>
          </w:tcPr>
          <w:p>
            <w:pPr>
              <w:ind w:left="4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BDBD1"/>
          </w:tcPr>
          <w:p>
            <w:pPr>
              <w:spacing w:after="0"/>
              <w:rPr>
                <w:sz w:val="19"/>
                <w:szCs w:val="19"/>
                <w:color w:val="auto"/>
              </w:rPr>
            </w:pPr>
          </w:p>
        </w:tc>
        <w:tc>
          <w:tcPr>
            <w:tcW w:w="136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13,360</w:t>
            </w:r>
          </w:p>
        </w:tc>
        <w:tc>
          <w:tcPr>
            <w:tcW w:w="120" w:type="dxa"/>
            <w:vAlign w:val="bottom"/>
            <w:shd w:val="clear" w:color="auto" w:fill="CBDBD1"/>
          </w:tcPr>
          <w:p>
            <w:pPr>
              <w:spacing w:after="0"/>
              <w:rPr>
                <w:sz w:val="19"/>
                <w:szCs w:val="19"/>
                <w:color w:val="auto"/>
              </w:rPr>
            </w:pPr>
          </w:p>
        </w:tc>
        <w:tc>
          <w:tcPr>
            <w:tcW w:w="12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BDBD1"/>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385,462</w:t>
            </w:r>
          </w:p>
        </w:tc>
        <w:tc>
          <w:tcPr>
            <w:tcW w:w="1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13,159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Website development costs, net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234,563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633,184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6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BDBD1"/>
            </w:tcBorders>
            <w:shd w:val="clear" w:color="auto" w:fill="CBDBD1"/>
          </w:tcPr>
          <w:p>
            <w:pPr>
              <w:ind w:left="46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shd w:val="clear" w:color="auto" w:fill="CBDBD1"/>
          </w:tcPr>
          <w:p>
            <w:pPr>
              <w:spacing w:after="0"/>
              <w:rPr>
                <w:sz w:val="19"/>
                <w:szCs w:val="19"/>
                <w:color w:val="auto"/>
              </w:rPr>
            </w:pPr>
          </w:p>
        </w:tc>
        <w:tc>
          <w:tcPr>
            <w:tcW w:w="12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13,879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26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1240" w:type="dxa"/>
            <w:vAlign w:val="bottom"/>
            <w:tcBorders>
              <w:top w:val="single" w:sz="8" w:color="auto"/>
            </w:tcBorders>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13,879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37,830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260" w:type="dxa"/>
            <w:vAlign w:val="bottom"/>
            <w:tcBorders>
              <w:top w:val="single" w:sz="8" w:color="auto"/>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124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BDBD1"/>
          </w:tcPr>
          <w:p>
            <w:pPr>
              <w:ind w:left="460"/>
              <w:spacing w:after="0" w:line="201" w:lineRule="exact"/>
              <w:rPr>
                <w:sz w:val="20"/>
                <w:szCs w:val="20"/>
                <w:color w:val="auto"/>
              </w:rPr>
            </w:pPr>
            <w:r>
              <w:rPr>
                <w:rFonts w:ascii="Arial" w:cs="Arial" w:eastAsia="Arial" w:hAnsi="Arial"/>
                <w:sz w:val="18"/>
                <w:szCs w:val="18"/>
                <w:color w:val="auto"/>
                <w:w w:val="96"/>
              </w:rPr>
              <w:t>Common stock, $.001 par value, 500,000,000</w:t>
            </w:r>
          </w:p>
        </w:tc>
        <w:tc>
          <w:tcPr>
            <w:tcW w:w="100" w:type="dxa"/>
            <w:vAlign w:val="bottom"/>
            <w:shd w:val="clear" w:color="auto" w:fill="CBDBD1"/>
          </w:tcPr>
          <w:p>
            <w:pPr>
              <w:spacing w:after="0"/>
              <w:rPr>
                <w:sz w:val="17"/>
                <w:szCs w:val="17"/>
                <w:color w:val="auto"/>
              </w:rPr>
            </w:pPr>
          </w:p>
        </w:tc>
        <w:tc>
          <w:tcPr>
            <w:tcW w:w="126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BDBD1"/>
          </w:tcPr>
          <w:p>
            <w:pPr>
              <w:spacing w:after="0"/>
              <w:rPr>
                <w:sz w:val="20"/>
                <w:szCs w:val="20"/>
                <w:color w:val="auto"/>
              </w:rPr>
            </w:pPr>
            <w:r>
              <w:rPr>
                <w:rFonts w:ascii="Arial" w:cs="Arial" w:eastAsia="Arial" w:hAnsi="Arial"/>
                <w:sz w:val="18"/>
                <w:szCs w:val="18"/>
                <w:color w:val="auto"/>
              </w:rPr>
              <w:t>shares authorized,</w:t>
            </w:r>
          </w:p>
        </w:tc>
        <w:tc>
          <w:tcPr>
            <w:tcW w:w="10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BDBD1"/>
          </w:tcPr>
          <w:p>
            <w:pPr>
              <w:ind w:left="460"/>
              <w:spacing w:after="0"/>
              <w:rPr>
                <w:sz w:val="20"/>
                <w:szCs w:val="20"/>
                <w:color w:val="auto"/>
              </w:rPr>
            </w:pPr>
            <w:r>
              <w:rPr>
                <w:rFonts w:ascii="Arial" w:cs="Arial" w:eastAsia="Arial" w:hAnsi="Arial"/>
                <w:sz w:val="18"/>
                <w:szCs w:val="18"/>
                <w:color w:val="auto"/>
              </w:rPr>
              <w:t>12,881,156 shares issued and outstanding</w:t>
            </w:r>
          </w:p>
        </w:tc>
        <w:tc>
          <w:tcPr>
            <w:tcW w:w="100" w:type="dxa"/>
            <w:vAlign w:val="bottom"/>
            <w:shd w:val="clear" w:color="auto" w:fill="CBDBD1"/>
          </w:tcPr>
          <w:p>
            <w:pPr>
              <w:spacing w:after="0"/>
              <w:rPr>
                <w:sz w:val="20"/>
                <w:szCs w:val="20"/>
                <w:color w:val="auto"/>
              </w:rPr>
            </w:pPr>
          </w:p>
        </w:tc>
        <w:tc>
          <w:tcPr>
            <w:tcW w:w="136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12,881</w:t>
            </w:r>
          </w:p>
        </w:tc>
        <w:tc>
          <w:tcPr>
            <w:tcW w:w="120" w:type="dxa"/>
            <w:vAlign w:val="bottom"/>
            <w:shd w:val="clear" w:color="auto" w:fill="CBDBD1"/>
          </w:tcPr>
          <w:p>
            <w:pPr>
              <w:spacing w:after="0"/>
              <w:rPr>
                <w:sz w:val="20"/>
                <w:szCs w:val="20"/>
                <w:color w:val="auto"/>
              </w:rPr>
            </w:pPr>
          </w:p>
        </w:tc>
        <w:tc>
          <w:tcPr>
            <w:tcW w:w="12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12,826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460"/>
              <w:spacing w:after="0" w:line="201" w:lineRule="exact"/>
              <w:rPr>
                <w:sz w:val="20"/>
                <w:szCs w:val="20"/>
                <w:color w:val="auto"/>
              </w:rPr>
            </w:pPr>
            <w:r>
              <w:rPr>
                <w:rFonts w:ascii="Arial" w:cs="Arial" w:eastAsia="Arial" w:hAnsi="Arial"/>
                <w:sz w:val="18"/>
                <w:szCs w:val="18"/>
                <w:color w:val="auto"/>
                <w:w w:val="93"/>
              </w:rPr>
              <w:t>Series A Convertible Preferred stock, $.001 par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value 1,000 shares authorized,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60"/>
              <w:spacing w:after="0"/>
              <w:rPr>
                <w:sz w:val="20"/>
                <w:szCs w:val="20"/>
                <w:color w:val="auto"/>
              </w:rPr>
            </w:pPr>
            <w:r>
              <w:rPr>
                <w:rFonts w:ascii="Arial" w:cs="Arial" w:eastAsia="Arial" w:hAnsi="Arial"/>
                <w:sz w:val="18"/>
                <w:szCs w:val="18"/>
                <w:color w:val="auto"/>
                <w:w w:val="93"/>
              </w:rPr>
              <w:t>35 shares issued and outstanding. Redemption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date September 5, 2010.</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BDBD1"/>
          </w:tcPr>
          <w:p>
            <w:pPr>
              <w:ind w:left="460"/>
              <w:spacing w:after="0"/>
              <w:rPr>
                <w:sz w:val="20"/>
                <w:szCs w:val="20"/>
                <w:color w:val="auto"/>
              </w:rPr>
            </w:pPr>
            <w:r>
              <w:rPr>
                <w:rFonts w:ascii="Arial" w:cs="Arial" w:eastAsia="Arial" w:hAnsi="Arial"/>
                <w:sz w:val="18"/>
                <w:szCs w:val="18"/>
                <w:color w:val="auto"/>
              </w:rPr>
              <w:t>Stock warrants</w:t>
            </w:r>
          </w:p>
        </w:tc>
        <w:tc>
          <w:tcPr>
            <w:tcW w:w="100" w:type="dxa"/>
            <w:vAlign w:val="bottom"/>
            <w:shd w:val="clear" w:color="auto" w:fill="CBDBD1"/>
          </w:tcPr>
          <w:p>
            <w:pPr>
              <w:spacing w:after="0"/>
              <w:rPr>
                <w:sz w:val="18"/>
                <w:szCs w:val="18"/>
                <w:color w:val="auto"/>
              </w:rPr>
            </w:pPr>
          </w:p>
        </w:tc>
        <w:tc>
          <w:tcPr>
            <w:tcW w:w="136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17,985,436</w:t>
            </w: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18,139,252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6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1,929,683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1,747,962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BDBD1"/>
          </w:tcPr>
          <w:p>
            <w:pPr>
              <w:ind w:left="460"/>
              <w:spacing w:after="0" w:line="201" w:lineRule="exact"/>
              <w:rPr>
                <w:sz w:val="20"/>
                <w:szCs w:val="20"/>
                <w:color w:val="auto"/>
              </w:rPr>
            </w:pPr>
            <w:r>
              <w:rPr>
                <w:rFonts w:ascii="Arial" w:cs="Arial" w:eastAsia="Arial" w:hAnsi="Arial"/>
                <w:sz w:val="18"/>
                <w:szCs w:val="18"/>
                <w:color w:val="auto"/>
              </w:rPr>
              <w:t>Deficit accumulated during the development</w:t>
            </w:r>
          </w:p>
        </w:tc>
        <w:tc>
          <w:tcPr>
            <w:tcW w:w="100" w:type="dxa"/>
            <w:vAlign w:val="bottom"/>
            <w:shd w:val="clear" w:color="auto" w:fill="CBDBD1"/>
          </w:tcPr>
          <w:p>
            <w:pPr>
              <w:spacing w:after="0"/>
              <w:rPr>
                <w:sz w:val="17"/>
                <w:szCs w:val="17"/>
                <w:color w:val="auto"/>
              </w:rPr>
            </w:pPr>
          </w:p>
        </w:tc>
        <w:tc>
          <w:tcPr>
            <w:tcW w:w="126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4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shd w:val="clear" w:color="auto" w:fill="CBDBD1"/>
          </w:tcPr>
          <w:p>
            <w:pPr>
              <w:spacing w:after="0"/>
              <w:rPr>
                <w:sz w:val="20"/>
                <w:szCs w:val="20"/>
                <w:color w:val="auto"/>
              </w:rPr>
            </w:pPr>
            <w:r>
              <w:rPr>
                <w:rFonts w:ascii="Arial" w:cs="Arial" w:eastAsia="Arial" w:hAnsi="Arial"/>
                <w:sz w:val="18"/>
                <w:szCs w:val="18"/>
                <w:color w:val="auto"/>
              </w:rPr>
              <w:t>stage</w:t>
            </w:r>
          </w:p>
        </w:tc>
        <w:tc>
          <w:tcPr>
            <w:tcW w:w="100" w:type="dxa"/>
            <w:vAlign w:val="bottom"/>
            <w:shd w:val="clear" w:color="auto" w:fill="CBDBD1"/>
          </w:tcPr>
          <w:p>
            <w:pPr>
              <w:spacing w:after="0"/>
              <w:rPr>
                <w:sz w:val="20"/>
                <w:szCs w:val="20"/>
                <w:color w:val="auto"/>
              </w:rPr>
            </w:pPr>
          </w:p>
        </w:tc>
        <w:tc>
          <w:tcPr>
            <w:tcW w:w="136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(19,308,695)</w:t>
            </w:r>
          </w:p>
        </w:tc>
        <w:tc>
          <w:tcPr>
            <w:tcW w:w="120" w:type="dxa"/>
            <w:vAlign w:val="bottom"/>
            <w:shd w:val="clear" w:color="auto" w:fill="CBDBD1"/>
          </w:tcPr>
          <w:p>
            <w:pPr>
              <w:spacing w:after="0"/>
              <w:rPr>
                <w:sz w:val="20"/>
                <w:szCs w:val="20"/>
                <w:color w:val="auto"/>
              </w:rPr>
            </w:pPr>
          </w:p>
        </w:tc>
        <w:tc>
          <w:tcPr>
            <w:tcW w:w="12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(19,047,728)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BDBD1"/>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619,305</w:t>
            </w:r>
          </w:p>
        </w:tc>
        <w:tc>
          <w:tcPr>
            <w:tcW w:w="100" w:type="dxa"/>
            <w:vAlign w:val="bottom"/>
            <w:tcBorders>
              <w:top w:val="single" w:sz="8" w:color="CBDBD1"/>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6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4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 STOCKHOLDERS'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633,184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890,142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THREE MONTHS ENDED MARCH 31, 2010 AND 2009</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PERIOD FROM JANUARY 31, 2006 (INCEPTION) THROUGH MARCH 31, 2010</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from January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w:t>
            </w:r>
          </w:p>
        </w:tc>
        <w:tc>
          <w:tcPr>
            <w:tcW w:w="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2006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ended March 31,</w:t>
            </w: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ended March 31,</w:t>
            </w: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through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w w:val="99"/>
              </w:rPr>
              <w:t>2010 (Unaudited)</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2009 (Unaudited)</w:t>
            </w: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2010 (Unaudited)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GROSS REVENUES</w:t>
            </w:r>
          </w:p>
        </w:tc>
        <w:tc>
          <w:tcPr>
            <w:tcW w:w="420" w:type="dxa"/>
            <w:vAlign w:val="bottom"/>
            <w:gridSpan w:val="2"/>
            <w:shd w:val="clear" w:color="auto" w:fill="CBDBD1"/>
          </w:tcPr>
          <w:p>
            <w:pPr>
              <w:ind w:left="30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212,010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263,094</w:t>
            </w:r>
          </w:p>
        </w:tc>
        <w:tc>
          <w:tcPr>
            <w:tcW w:w="140" w:type="dxa"/>
            <w:vAlign w:val="bottom"/>
            <w:shd w:val="clear" w:color="auto" w:fill="CBDBD1"/>
          </w:tcPr>
          <w:p>
            <w:pPr>
              <w:spacing w:after="0"/>
              <w:rPr>
                <w:sz w:val="19"/>
                <w:szCs w:val="19"/>
                <w:color w:val="auto"/>
              </w:rPr>
            </w:pP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1,376,304</w:t>
            </w:r>
          </w:p>
        </w:tc>
        <w:tc>
          <w:tcPr>
            <w:tcW w:w="80" w:type="dxa"/>
            <w:vAlign w:val="bottom"/>
            <w:shd w:val="clear" w:color="auto" w:fill="CBDBD1"/>
          </w:tcPr>
          <w:p>
            <w:pPr>
              <w:spacing w:after="0"/>
              <w:rPr>
                <w:sz w:val="19"/>
                <w:szCs w:val="19"/>
                <w:color w:val="auto"/>
              </w:rPr>
            </w:pPr>
          </w:p>
        </w:tc>
        <w:tc>
          <w:tcPr>
            <w:tcW w:w="13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5,169,184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Borders>
              <w:top w:val="single" w:sz="8" w:color="CBDBD1"/>
            </w:tcBorders>
          </w:tcPr>
          <w:p>
            <w:pPr>
              <w:spacing w:after="0"/>
              <w:rPr>
                <w:sz w:val="18"/>
                <w:szCs w:val="18"/>
                <w:color w:val="auto"/>
              </w:rPr>
            </w:pPr>
          </w:p>
        </w:tc>
        <w:tc>
          <w:tcPr>
            <w:tcW w:w="3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OPERATING LOSS</w:t>
            </w:r>
          </w:p>
        </w:tc>
        <w:tc>
          <w:tcPr>
            <w:tcW w:w="3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(261,811)</w:t>
            </w:r>
          </w:p>
        </w:tc>
        <w:tc>
          <w:tcPr>
            <w:tcW w:w="140" w:type="dxa"/>
            <w:vAlign w:val="bottom"/>
            <w:shd w:val="clear" w:color="auto" w:fill="CBDBD1"/>
          </w:tcPr>
          <w:p>
            <w:pPr>
              <w:spacing w:after="0"/>
              <w:rPr>
                <w:sz w:val="18"/>
                <w:szCs w:val="18"/>
                <w:color w:val="auto"/>
              </w:rPr>
            </w:pP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(1,375,033)</w:t>
            </w:r>
          </w:p>
        </w:tc>
        <w:tc>
          <w:tcPr>
            <w:tcW w:w="80" w:type="dxa"/>
            <w:vAlign w:val="bottom"/>
            <w:shd w:val="clear" w:color="auto" w:fill="CBDBD1"/>
          </w:tcPr>
          <w:p>
            <w:pPr>
              <w:spacing w:after="0"/>
              <w:rPr>
                <w:sz w:val="18"/>
                <w:szCs w:val="18"/>
                <w:color w:val="auto"/>
              </w:rPr>
            </w:pPr>
          </w:p>
        </w:tc>
        <w:tc>
          <w:tcPr>
            <w:tcW w:w="13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(4,957,174)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CBDBD1"/>
          </w:tcPr>
          <w:p>
            <w:pPr>
              <w:spacing w:after="0"/>
              <w:rPr>
                <w:sz w:val="19"/>
                <w:szCs w:val="19"/>
                <w:color w:val="auto"/>
              </w:rPr>
            </w:pP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14,310</w:t>
            </w:r>
          </w:p>
        </w:tc>
        <w:tc>
          <w:tcPr>
            <w:tcW w:w="80" w:type="dxa"/>
            <w:vAlign w:val="bottom"/>
            <w:shd w:val="clear" w:color="auto" w:fill="CBDBD1"/>
          </w:tcPr>
          <w:p>
            <w:pPr>
              <w:spacing w:after="0"/>
              <w:rPr>
                <w:sz w:val="19"/>
                <w:szCs w:val="19"/>
                <w:color w:val="auto"/>
              </w:rPr>
            </w:pPr>
          </w:p>
        </w:tc>
        <w:tc>
          <w:tcPr>
            <w:tcW w:w="13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(4,654,112)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Borders>
              <w:top w:val="single" w:sz="8" w:color="CBDBD1"/>
            </w:tcBorders>
          </w:tcPr>
          <w:p>
            <w:pPr>
              <w:spacing w:after="0"/>
              <w:rPr>
                <w:sz w:val="18"/>
                <w:szCs w:val="18"/>
                <w:color w:val="auto"/>
              </w:rPr>
            </w:pPr>
          </w:p>
        </w:tc>
        <w:tc>
          <w:tcPr>
            <w:tcW w:w="3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 BEFORE INCOME TAXES</w:t>
            </w:r>
          </w:p>
        </w:tc>
        <w:tc>
          <w:tcPr>
            <w:tcW w:w="3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(260,967)</w:t>
            </w:r>
          </w:p>
        </w:tc>
        <w:tc>
          <w:tcPr>
            <w:tcW w:w="140" w:type="dxa"/>
            <w:vAlign w:val="bottom"/>
            <w:shd w:val="clear" w:color="auto" w:fill="CBDBD1"/>
          </w:tcPr>
          <w:p>
            <w:pPr>
              <w:spacing w:after="0"/>
              <w:rPr>
                <w:sz w:val="18"/>
                <w:szCs w:val="18"/>
                <w:color w:val="auto"/>
              </w:rPr>
            </w:pP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(1,360,723)</w:t>
            </w:r>
          </w:p>
        </w:tc>
        <w:tc>
          <w:tcPr>
            <w:tcW w:w="80" w:type="dxa"/>
            <w:vAlign w:val="bottom"/>
            <w:shd w:val="clear" w:color="auto" w:fill="CBDBD1"/>
          </w:tcPr>
          <w:p>
            <w:pPr>
              <w:spacing w:after="0"/>
              <w:rPr>
                <w:sz w:val="18"/>
                <w:szCs w:val="18"/>
                <w:color w:val="auto"/>
              </w:rPr>
            </w:pPr>
          </w:p>
        </w:tc>
        <w:tc>
          <w:tcPr>
            <w:tcW w:w="13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(9,611,286)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PROVISION FOR INCOME TAXES</w:t>
            </w:r>
          </w:p>
        </w:tc>
        <w:tc>
          <w:tcPr>
            <w:tcW w:w="30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BDBD1"/>
          </w:tcPr>
          <w:p>
            <w:pPr>
              <w:spacing w:after="0"/>
              <w:rPr>
                <w:sz w:val="19"/>
                <w:szCs w:val="19"/>
                <w:color w:val="auto"/>
              </w:rPr>
            </w:pP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BDBD1"/>
          </w:tcPr>
          <w:p>
            <w:pPr>
              <w:spacing w:after="0"/>
              <w:rPr>
                <w:sz w:val="19"/>
                <w:szCs w:val="19"/>
                <w:color w:val="auto"/>
              </w:rPr>
            </w:pPr>
          </w:p>
        </w:tc>
        <w:tc>
          <w:tcPr>
            <w:tcW w:w="13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Borders>
              <w:top w:val="single" w:sz="8" w:color="CBDBD1"/>
            </w:tcBorders>
          </w:tcPr>
          <w:p>
            <w:pPr>
              <w:spacing w:after="0"/>
              <w:rPr>
                <w:sz w:val="18"/>
                <w:szCs w:val="18"/>
                <w:color w:val="auto"/>
              </w:rPr>
            </w:pPr>
          </w:p>
        </w:tc>
        <w:tc>
          <w:tcPr>
            <w:tcW w:w="3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w:t>
            </w:r>
          </w:p>
        </w:tc>
        <w:tc>
          <w:tcPr>
            <w:tcW w:w="420" w:type="dxa"/>
            <w:vAlign w:val="bottom"/>
            <w:gridSpan w:val="2"/>
            <w:shd w:val="clear" w:color="auto" w:fill="CBDBD1"/>
          </w:tcPr>
          <w:p>
            <w:pPr>
              <w:ind w:left="30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(260,967)</w:t>
            </w:r>
          </w:p>
        </w:tc>
        <w:tc>
          <w:tcPr>
            <w:tcW w:w="1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(1,360,723)</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(9,611,286)</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Borders>
              <w:top w:val="single" w:sz="8" w:color="CBDBD1"/>
            </w:tcBorders>
          </w:tcPr>
          <w:p>
            <w:pPr>
              <w:spacing w:after="0"/>
              <w:rPr>
                <w:sz w:val="18"/>
                <w:szCs w:val="18"/>
                <w:color w:val="auto"/>
              </w:rPr>
            </w:pPr>
          </w:p>
        </w:tc>
        <w:tc>
          <w:tcPr>
            <w:tcW w:w="3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60" w:type="dxa"/>
            <w:vAlign w:val="bottom"/>
            <w:shd w:val="clear" w:color="auto" w:fill="CBDBD1"/>
          </w:tcPr>
          <w:p>
            <w:pPr>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3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124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3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SHARES OUTSTANDING</w:t>
            </w:r>
          </w:p>
        </w:tc>
        <w:tc>
          <w:tcPr>
            <w:tcW w:w="300" w:type="dxa"/>
            <w:vAlign w:val="bottom"/>
            <w:shd w:val="clear" w:color="auto" w:fill="CBDBD1"/>
          </w:tcPr>
          <w:p>
            <w:pPr>
              <w:spacing w:after="0"/>
              <w:rPr>
                <w:sz w:val="23"/>
                <w:szCs w:val="23"/>
                <w:color w:val="auto"/>
              </w:rPr>
            </w:pPr>
          </w:p>
        </w:tc>
        <w:tc>
          <w:tcPr>
            <w:tcW w:w="120" w:type="dxa"/>
            <w:vAlign w:val="bottom"/>
            <w:shd w:val="clear" w:color="auto" w:fill="CBDBD1"/>
          </w:tcPr>
          <w:p>
            <w:pPr>
              <w:spacing w:after="0"/>
              <w:rPr>
                <w:sz w:val="23"/>
                <w:szCs w:val="23"/>
                <w:color w:val="auto"/>
              </w:rPr>
            </w:pP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12,853,190</w:t>
            </w:r>
          </w:p>
        </w:tc>
        <w:tc>
          <w:tcPr>
            <w:tcW w:w="140" w:type="dxa"/>
            <w:vAlign w:val="bottom"/>
            <w:shd w:val="clear" w:color="auto" w:fill="CBDBD1"/>
          </w:tcPr>
          <w:p>
            <w:pPr>
              <w:spacing w:after="0"/>
              <w:rPr>
                <w:sz w:val="23"/>
                <w:szCs w:val="23"/>
                <w:color w:val="auto"/>
              </w:rPr>
            </w:pP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12,609,094</w:t>
            </w:r>
          </w:p>
        </w:tc>
        <w:tc>
          <w:tcPr>
            <w:tcW w:w="80" w:type="dxa"/>
            <w:vAlign w:val="bottom"/>
            <w:shd w:val="clear" w:color="auto" w:fill="CBDBD1"/>
          </w:tcPr>
          <w:p>
            <w:pPr>
              <w:spacing w:after="0"/>
              <w:rPr>
                <w:sz w:val="23"/>
                <w:szCs w:val="23"/>
                <w:color w:val="auto"/>
              </w:rPr>
            </w:pPr>
          </w:p>
        </w:tc>
        <w:tc>
          <w:tcPr>
            <w:tcW w:w="1300" w:type="dxa"/>
            <w:vAlign w:val="bottom"/>
            <w:shd w:val="clear" w:color="auto" w:fill="CBDBD1"/>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Borders>
              <w:top w:val="single" w:sz="8" w:color="CBDBD1"/>
            </w:tcBorders>
          </w:tcPr>
          <w:p>
            <w:pPr>
              <w:spacing w:after="0"/>
              <w:rPr>
                <w:sz w:val="18"/>
                <w:szCs w:val="18"/>
                <w:color w:val="auto"/>
              </w:rPr>
            </w:pPr>
          </w:p>
        </w:tc>
        <w:tc>
          <w:tcPr>
            <w:tcW w:w="3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300" w:type="dxa"/>
            <w:vAlign w:val="bottom"/>
            <w:tcBorders>
              <w:top w:val="single" w:sz="8" w:color="CBDBD1"/>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60" w:type="dxa"/>
            <w:vAlign w:val="bottom"/>
            <w:shd w:val="clear" w:color="auto" w:fill="CBDBD1"/>
          </w:tcPr>
          <w:p>
            <w:pPr>
              <w:spacing w:after="0"/>
              <w:rPr>
                <w:sz w:val="20"/>
                <w:szCs w:val="20"/>
                <w:color w:val="auto"/>
              </w:rPr>
            </w:pPr>
            <w:r>
              <w:rPr>
                <w:rFonts w:ascii="Arial" w:cs="Arial" w:eastAsia="Arial" w:hAnsi="Arial"/>
                <w:sz w:val="18"/>
                <w:szCs w:val="18"/>
                <w:b w:val="1"/>
                <w:bCs w:val="1"/>
                <w:color w:val="auto"/>
              </w:rPr>
              <w:t>NET LOSS PER SHARE</w:t>
            </w:r>
          </w:p>
        </w:tc>
        <w:tc>
          <w:tcPr>
            <w:tcW w:w="420" w:type="dxa"/>
            <w:vAlign w:val="bottom"/>
            <w:gridSpan w:val="2"/>
            <w:shd w:val="clear" w:color="auto" w:fill="CBDBD1"/>
          </w:tcPr>
          <w:p>
            <w:pPr>
              <w:ind w:left="30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BDBD1"/>
          </w:tcPr>
          <w:p>
            <w:pPr>
              <w:jc w:val="right"/>
              <w:ind w:right="1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BDBD1"/>
          </w:tcPr>
          <w:p>
            <w:pPr>
              <w:jc w:val="right"/>
              <w:ind w:right="12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BDBD1"/>
          </w:tcPr>
          <w:p>
            <w:pPr>
              <w:spacing w:after="0"/>
              <w:rPr>
                <w:sz w:val="20"/>
                <w:szCs w:val="20"/>
                <w:color w:val="auto"/>
              </w:rPr>
            </w:pPr>
          </w:p>
        </w:tc>
        <w:tc>
          <w:tcPr>
            <w:tcW w:w="1300" w:type="dxa"/>
            <w:vAlign w:val="bottom"/>
            <w:shd w:val="clear" w:color="auto" w:fill="CBDBD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BDBD1"/>
            </w:tcBorders>
            <w:shd w:val="clear" w:color="auto" w:fill="CBDBD1"/>
          </w:tcPr>
          <w:p>
            <w:pPr>
              <w:spacing w:after="0" w:line="20" w:lineRule="exact"/>
              <w:rPr>
                <w:sz w:val="1"/>
                <w:szCs w:val="1"/>
                <w:color w:val="auto"/>
              </w:rPr>
            </w:pPr>
          </w:p>
        </w:tc>
        <w:tc>
          <w:tcPr>
            <w:tcW w:w="3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30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 OF STOCKHOLDERS' EQUITY (UNAUDITED)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AS OF MARCH 31, 2010</w:t>
      </w: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w w:val="90"/>
              </w:rPr>
              <w:t>Additional</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During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w w:val="89"/>
              </w:rPr>
              <w:t>Preferred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Paid in</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Shares</w:t>
            </w:r>
          </w:p>
        </w:tc>
        <w:tc>
          <w:tcPr>
            <w:tcW w:w="10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Stage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Balance, January 1, 2009</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12,262,958</w:t>
            </w:r>
          </w:p>
        </w:tc>
        <w:tc>
          <w:tcPr>
            <w:tcW w:w="24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4"/>
              </w:rPr>
              <w:t>12,263</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BDBD1"/>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5"/>
              </w:rPr>
              <w:t>$16,905,280</w:t>
            </w:r>
          </w:p>
        </w:tc>
        <w:tc>
          <w:tcPr>
            <w:tcW w:w="20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98"/>
              </w:rPr>
              <w:t>$(14,492,039)</w:t>
            </w:r>
          </w:p>
        </w:tc>
        <w:tc>
          <w:tcPr>
            <w:tcW w:w="20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2,425,504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w w:val="99"/>
              </w:rPr>
              <w:t>Outstanding share adjustment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(86,749)</w:t>
            </w: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(87)</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18"/>
                <w:szCs w:val="18"/>
                <w:color w:val="auto"/>
              </w:rPr>
            </w:pPr>
          </w:p>
        </w:tc>
        <w:tc>
          <w:tcPr>
            <w:tcW w:w="560" w:type="dxa"/>
            <w:vAlign w:val="bottom"/>
            <w:shd w:val="clear" w:color="auto" w:fill="CBDBD1"/>
          </w:tcPr>
          <w:p>
            <w:pPr>
              <w:spacing w:after="0"/>
              <w:rPr>
                <w:sz w:val="18"/>
                <w:szCs w:val="18"/>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87</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5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services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284,000</w:t>
            </w:r>
          </w:p>
        </w:tc>
        <w:tc>
          <w:tcPr>
            <w:tcW w:w="10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284</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560" w:type="dxa"/>
            <w:vAlign w:val="bottom"/>
            <w:shd w:val="clear" w:color="auto" w:fill="CBDBD1"/>
          </w:tcPr>
          <w:p>
            <w:pPr>
              <w:spacing w:after="0"/>
              <w:rPr>
                <w:sz w:val="20"/>
                <w:szCs w:val="20"/>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7"/>
              </w:rPr>
              <w:t>1,007,956</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1,008,240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6"/>
              </w:rPr>
              <w:t>Issuance of stock warrants and</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5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options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560" w:type="dxa"/>
            <w:vAlign w:val="bottom"/>
            <w:shd w:val="clear" w:color="auto" w:fill="CBDBD1"/>
          </w:tcPr>
          <w:p>
            <w:pPr>
              <w:spacing w:after="0"/>
              <w:rPr>
                <w:sz w:val="20"/>
                <w:szCs w:val="20"/>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1,939,257</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1,939,257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5"/>
              </w:rPr>
              <w:t>Conversion of stock warrants to</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5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common stock</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365,908</w:t>
            </w:r>
          </w:p>
        </w:tc>
        <w:tc>
          <w:tcPr>
            <w:tcW w:w="10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366</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560" w:type="dxa"/>
            <w:vAlign w:val="bottom"/>
            <w:shd w:val="clear" w:color="auto" w:fill="CBDBD1"/>
          </w:tcPr>
          <w:p>
            <w:pPr>
              <w:spacing w:after="0"/>
              <w:rPr>
                <w:sz w:val="20"/>
                <w:szCs w:val="20"/>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(705,285)</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739,919</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Net loss for the year ended</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5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December 31, 2009</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560" w:type="dxa"/>
            <w:vAlign w:val="bottom"/>
            <w:shd w:val="clear" w:color="auto" w:fill="CBDBD1"/>
          </w:tcPr>
          <w:p>
            <w:pPr>
              <w:spacing w:after="0"/>
              <w:rPr>
                <w:sz w:val="20"/>
                <w:szCs w:val="20"/>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(4,555,689)</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9"/>
              </w:rPr>
              <w:t>(4,555,689)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Borders>
              <w:top w:val="single" w:sz="8" w:color="CBDBD1"/>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Balance, December 31, 2009</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12,826,117</w:t>
            </w: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4"/>
              </w:rPr>
              <w:t>12,826</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BDBD1"/>
          </w:tcPr>
          <w:p>
            <w:pPr>
              <w:spacing w:after="0"/>
              <w:rPr>
                <w:sz w:val="18"/>
                <w:szCs w:val="18"/>
                <w:color w:val="auto"/>
              </w:rPr>
            </w:pPr>
          </w:p>
        </w:tc>
        <w:tc>
          <w:tcPr>
            <w:tcW w:w="560" w:type="dxa"/>
            <w:vAlign w:val="bottom"/>
            <w:shd w:val="clear" w:color="auto" w:fill="CBDBD1"/>
          </w:tcPr>
          <w:p>
            <w:pPr>
              <w:spacing w:after="0"/>
              <w:rPr>
                <w:sz w:val="18"/>
                <w:szCs w:val="18"/>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0</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18,139,252</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7"/>
              </w:rPr>
              <w:t>1,747,962</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(19,047,728)</w:t>
            </w:r>
          </w:p>
        </w:tc>
        <w:tc>
          <w:tcPr>
            <w:tcW w:w="10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852,312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5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services</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560" w:type="dxa"/>
            <w:vAlign w:val="bottom"/>
            <w:shd w:val="clear" w:color="auto" w:fill="CBDBD1"/>
          </w:tcPr>
          <w:p>
            <w:pPr>
              <w:spacing w:after="0"/>
              <w:rPr>
                <w:sz w:val="20"/>
                <w:szCs w:val="20"/>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27,948</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27,960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5"/>
              </w:rPr>
              <w:t>Conversion of stock warrants to</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5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common stock</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43</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560" w:type="dxa"/>
            <w:vAlign w:val="bottom"/>
            <w:shd w:val="clear" w:color="auto" w:fill="CBDBD1"/>
          </w:tcPr>
          <w:p>
            <w:pPr>
              <w:spacing w:after="0"/>
              <w:rPr>
                <w:sz w:val="20"/>
                <w:szCs w:val="20"/>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(153,816)</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153,773</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rPr>
              <w:t>Net loss for the three months</w:t>
            </w: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5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6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5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9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7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ended March 31, 2010</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40" w:type="dxa"/>
            <w:vAlign w:val="bottom"/>
            <w:shd w:val="clear" w:color="auto" w:fill="CBDBD1"/>
          </w:tcPr>
          <w:p>
            <w:pPr>
              <w:spacing w:after="0"/>
              <w:rPr>
                <w:sz w:val="20"/>
                <w:szCs w:val="20"/>
                <w:color w:val="auto"/>
              </w:rPr>
            </w:pP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560" w:type="dxa"/>
            <w:vAlign w:val="bottom"/>
            <w:shd w:val="clear" w:color="auto" w:fill="CBDBD1"/>
          </w:tcPr>
          <w:p>
            <w:pPr>
              <w:spacing w:after="0"/>
              <w:rPr>
                <w:sz w:val="20"/>
                <w:szCs w:val="20"/>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(260,967)</w:t>
            </w:r>
          </w:p>
        </w:tc>
        <w:tc>
          <w:tcPr>
            <w:tcW w:w="10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(260,967)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Borders>
              <w:top w:val="single" w:sz="8" w:color="CBDBD1"/>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420" w:type="dxa"/>
            <w:vAlign w:val="bottom"/>
            <w:shd w:val="clear" w:color="auto" w:fill="CBDBD1"/>
          </w:tcPr>
          <w:p>
            <w:pPr>
              <w:spacing w:after="0"/>
              <w:rPr>
                <w:sz w:val="20"/>
                <w:szCs w:val="20"/>
                <w:color w:val="auto"/>
              </w:rPr>
            </w:pPr>
            <w:r>
              <w:rPr>
                <w:rFonts w:ascii="Arial" w:cs="Arial" w:eastAsia="Arial" w:hAnsi="Arial"/>
                <w:sz w:val="18"/>
                <w:szCs w:val="18"/>
                <w:color w:val="auto"/>
              </w:rPr>
              <w:t>Balance, March 31, 2010</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7"/>
              </w:rPr>
              <w:t>12,881,156</w:t>
            </w:r>
          </w:p>
        </w:tc>
        <w:tc>
          <w:tcPr>
            <w:tcW w:w="24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4"/>
              </w:rPr>
              <w:t>12,881</w:t>
            </w:r>
          </w:p>
        </w:tc>
        <w:tc>
          <w:tcPr>
            <w:tcW w:w="74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BDBD1"/>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BDBD1"/>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17,985,436</w:t>
            </w:r>
          </w:p>
        </w:tc>
        <w:tc>
          <w:tcPr>
            <w:tcW w:w="200" w:type="dxa"/>
            <w:vAlign w:val="bottom"/>
            <w:gridSpan w:val="2"/>
            <w:shd w:val="clear" w:color="auto" w:fill="CBDBD1"/>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87"/>
              </w:rPr>
              <w:t>1,929,683</w:t>
            </w:r>
          </w:p>
        </w:tc>
        <w:tc>
          <w:tcPr>
            <w:tcW w:w="1120" w:type="dxa"/>
            <w:vAlign w:val="bottom"/>
            <w:gridSpan w:val="2"/>
            <w:shd w:val="clear" w:color="auto" w:fill="CBDBD1"/>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(19,308,695)</w:t>
            </w:r>
          </w:p>
        </w:tc>
        <w:tc>
          <w:tcPr>
            <w:tcW w:w="20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619,305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BDBD1"/>
            </w:tcBorders>
            <w:shd w:val="clear" w:color="auto" w:fill="CBDBD1"/>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121" w:right="10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THREE MONTHS ENDED MARCH 31, 2010 AND 2009</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PERIOD FROM JANUARY 31, 2006 (INCEPTION) THROUGH MARCH 31, 2010</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0"/>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from January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8"/>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3"/>
              </w:rPr>
              <w:t>2006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90"/>
              </w:rPr>
              <w:t>ended 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90"/>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1"/>
              </w:rPr>
              <w:t>through March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91"/>
              </w:rPr>
              <w:t>ended 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8"/>
              </w:rPr>
              <w:t>31, 2010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2009 (Unaudited)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Net loss for the period</w:t>
            </w: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(260,967)</w:t>
            </w:r>
          </w:p>
        </w:tc>
        <w:tc>
          <w:tcPr>
            <w:tcW w:w="22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(1,360,723)</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(9,611,286)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Stock issued for services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Compensation expense for stock options</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333,004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Stock warrants issued for services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Loan receivable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(19,417)</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BDBD1"/>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bottom w:val="single" w:sz="8" w:color="auto"/>
            </w:tcBorders>
            <w:shd w:val="clear" w:color="auto" w:fill="CBDBD1"/>
          </w:tcPr>
          <w:p>
            <w:pPr>
              <w:spacing w:after="0"/>
              <w:rPr>
                <w:sz w:val="19"/>
                <w:szCs w:val="19"/>
                <w:color w:val="auto"/>
              </w:rPr>
            </w:pPr>
          </w:p>
        </w:tc>
        <w:tc>
          <w:tcPr>
            <w:tcW w:w="11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(240,322)</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(679,888)</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(3,412,057)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BDBD1"/>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Website site development costs</w:t>
            </w:r>
          </w:p>
        </w:tc>
        <w:tc>
          <w:tcPr>
            <w:tcW w:w="100" w:type="dxa"/>
            <w:vAlign w:val="bottom"/>
            <w:tcBorders>
              <w:bottom w:val="single" w:sz="8" w:color="auto"/>
            </w:tcBorders>
            <w:shd w:val="clear" w:color="auto" w:fill="CBDBD1"/>
          </w:tcPr>
          <w:p>
            <w:pPr>
              <w:spacing w:after="0"/>
              <w:rPr>
                <w:sz w:val="19"/>
                <w:szCs w:val="19"/>
                <w:color w:val="auto"/>
              </w:rPr>
            </w:pPr>
          </w:p>
        </w:tc>
        <w:tc>
          <w:tcPr>
            <w:tcW w:w="11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(44,660)</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(306,493)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Members capital contributions</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404,600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Issuance of preferred stock</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2,985,000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Payments on loan payable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Payment for conversion of warrants to stock</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Proceeds from issuance of notes payable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BDBD1"/>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BDBD1"/>
          </w:tcPr>
          <w:p>
            <w:pPr>
              <w:spacing w:after="0"/>
              <w:rPr>
                <w:sz w:val="19"/>
                <w:szCs w:val="19"/>
                <w:color w:val="auto"/>
              </w:rPr>
            </w:pPr>
          </w:p>
        </w:tc>
        <w:tc>
          <w:tcPr>
            <w:tcW w:w="11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4,106,850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40" w:type="dxa"/>
            <w:vAlign w:val="bottom"/>
            <w:tcBorders>
              <w:right w:val="single" w:sz="8" w:color="CBDBD1"/>
            </w:tcBorders>
            <w:shd w:val="clear" w:color="auto" w:fill="CBDBD1"/>
          </w:tcPr>
          <w:p>
            <w:pPr>
              <w:spacing w:after="0" w:line="198" w:lineRule="exact"/>
              <w:rPr>
                <w:sz w:val="20"/>
                <w:szCs w:val="20"/>
                <w:color w:val="auto"/>
              </w:rPr>
            </w:pPr>
            <w:r>
              <w:rPr>
                <w:rFonts w:ascii="Arial" w:cs="Arial" w:eastAsia="Arial" w:hAnsi="Arial"/>
                <w:sz w:val="18"/>
                <w:szCs w:val="18"/>
                <w:b w:val="1"/>
                <w:bCs w:val="1"/>
                <w:color w:val="auto"/>
              </w:rPr>
              <w:t>NET INCREASE (DECREASE) IN CASH AND CASH</w:t>
            </w:r>
          </w:p>
        </w:tc>
        <w:tc>
          <w:tcPr>
            <w:tcW w:w="100" w:type="dxa"/>
            <w:vAlign w:val="bottom"/>
            <w:shd w:val="clear" w:color="auto" w:fill="CBDBD1"/>
          </w:tcPr>
          <w:p>
            <w:pPr>
              <w:spacing w:after="0"/>
              <w:rPr>
                <w:sz w:val="17"/>
                <w:szCs w:val="17"/>
                <w:color w:val="auto"/>
              </w:rPr>
            </w:pPr>
          </w:p>
        </w:tc>
        <w:tc>
          <w:tcPr>
            <w:tcW w:w="11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1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2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EQUIVALENTS</w:t>
            </w:r>
          </w:p>
        </w:tc>
        <w:tc>
          <w:tcPr>
            <w:tcW w:w="100" w:type="dxa"/>
            <w:vAlign w:val="bottom"/>
            <w:shd w:val="clear" w:color="auto" w:fill="CBDBD1"/>
          </w:tcPr>
          <w:p>
            <w:pPr>
              <w:spacing w:after="0"/>
              <w:rPr>
                <w:sz w:val="20"/>
                <w:szCs w:val="20"/>
                <w:color w:val="auto"/>
              </w:rPr>
            </w:pP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(284,982)</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(679,888)</w:t>
            </w: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371,412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40" w:type="dxa"/>
            <w:vAlign w:val="bottom"/>
            <w:tcBorders>
              <w:bottom w:val="single" w:sz="8" w:color="CBDBD1"/>
              <w:right w:val="single" w:sz="8" w:color="CBDBD1"/>
            </w:tcBorders>
            <w:shd w:val="clear" w:color="auto" w:fill="CBDBD1"/>
          </w:tcPr>
          <w:p>
            <w:pPr>
              <w:spacing w:after="0"/>
              <w:rPr>
                <w:sz w:val="20"/>
                <w:szCs w:val="20"/>
                <w:color w:val="auto"/>
              </w:rPr>
            </w:pPr>
            <w:r>
              <w:rPr>
                <w:rFonts w:ascii="Arial" w:cs="Arial" w:eastAsia="Arial" w:hAnsi="Arial"/>
                <w:sz w:val="18"/>
                <w:szCs w:val="18"/>
                <w:color w:val="auto"/>
                <w:w w:val="99"/>
              </w:rPr>
              <w:t>CASH AND CASH EQUIVALENTS - BEGINNING OF PERIOD</w:t>
            </w:r>
          </w:p>
        </w:tc>
        <w:tc>
          <w:tcPr>
            <w:tcW w:w="100" w:type="dxa"/>
            <w:vAlign w:val="bottom"/>
            <w:tcBorders>
              <w:bottom w:val="single" w:sz="8" w:color="auto"/>
            </w:tcBorders>
            <w:shd w:val="clear" w:color="auto" w:fill="CBDBD1"/>
          </w:tcPr>
          <w:p>
            <w:pPr>
              <w:spacing w:after="0"/>
              <w:rPr>
                <w:sz w:val="19"/>
                <w:szCs w:val="19"/>
                <w:color w:val="auto"/>
              </w:rPr>
            </w:pPr>
          </w:p>
        </w:tc>
        <w:tc>
          <w:tcPr>
            <w:tcW w:w="11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656,394</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2,502,656</w:t>
            </w:r>
          </w:p>
        </w:tc>
        <w:tc>
          <w:tcPr>
            <w:tcW w:w="100" w:type="dxa"/>
            <w:vAlign w:val="bottom"/>
            <w:tcBorders>
              <w:bottom w:val="single" w:sz="8" w:color="CBDBD1"/>
            </w:tcBorders>
            <w:shd w:val="clear" w:color="auto" w:fill="CBDBD1"/>
          </w:tcPr>
          <w:p>
            <w:pPr>
              <w:spacing w:after="0"/>
              <w:rPr>
                <w:sz w:val="19"/>
                <w:szCs w:val="19"/>
                <w:color w:val="auto"/>
              </w:rPr>
            </w:pPr>
          </w:p>
        </w:tc>
        <w:tc>
          <w:tcPr>
            <w:tcW w:w="120" w:type="dxa"/>
            <w:vAlign w:val="bottom"/>
            <w:tcBorders>
              <w:bottom w:val="single" w:sz="8" w:color="auto"/>
            </w:tcBorders>
            <w:shd w:val="clear" w:color="auto" w:fill="CBDBD1"/>
          </w:tcPr>
          <w:p>
            <w:pPr>
              <w:spacing w:after="0"/>
              <w:rPr>
                <w:sz w:val="19"/>
                <w:szCs w:val="19"/>
                <w:color w:val="auto"/>
              </w:rPr>
            </w:pPr>
          </w:p>
        </w:tc>
        <w:tc>
          <w:tcPr>
            <w:tcW w:w="12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371,412</w:t>
            </w:r>
          </w:p>
        </w:tc>
        <w:tc>
          <w:tcPr>
            <w:tcW w:w="22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1,822,768</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371,412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BDBD1"/>
          </w:tcPr>
          <w:p>
            <w:pPr>
              <w:spacing w:after="0"/>
              <w:rPr>
                <w:sz w:val="18"/>
                <w:szCs w:val="18"/>
                <w:color w:val="auto"/>
              </w:rPr>
            </w:pPr>
          </w:p>
        </w:tc>
        <w:tc>
          <w:tcPr>
            <w:tcW w:w="114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8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40" w:type="dxa"/>
            <w:vAlign w:val="bottom"/>
            <w:tcBorders>
              <w:right w:val="single" w:sz="8" w:color="CBDBD1"/>
            </w:tcBorders>
            <w:shd w:val="clear" w:color="auto" w:fill="CBDBD1"/>
          </w:tcPr>
          <w:p>
            <w:pPr>
              <w:spacing w:after="0" w:line="198" w:lineRule="exact"/>
              <w:rPr>
                <w:sz w:val="20"/>
                <w:szCs w:val="20"/>
                <w:color w:val="auto"/>
              </w:rPr>
            </w:pPr>
            <w:r>
              <w:rPr>
                <w:rFonts w:ascii="Arial" w:cs="Arial" w:eastAsia="Arial" w:hAnsi="Arial"/>
                <w:sz w:val="18"/>
                <w:szCs w:val="18"/>
                <w:b w:val="1"/>
                <w:bCs w:val="1"/>
                <w:color w:val="auto"/>
              </w:rPr>
              <w:t>SUPPLEMENTAL DISCLOSURE OF NONCASH INVESTING</w:t>
            </w:r>
          </w:p>
        </w:tc>
        <w:tc>
          <w:tcPr>
            <w:tcW w:w="100" w:type="dxa"/>
            <w:vAlign w:val="bottom"/>
            <w:shd w:val="clear" w:color="auto" w:fill="CBDBD1"/>
          </w:tcPr>
          <w:p>
            <w:pPr>
              <w:spacing w:after="0"/>
              <w:rPr>
                <w:sz w:val="17"/>
                <w:szCs w:val="17"/>
                <w:color w:val="auto"/>
              </w:rPr>
            </w:pPr>
          </w:p>
        </w:tc>
        <w:tc>
          <w:tcPr>
            <w:tcW w:w="11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1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20" w:type="dxa"/>
            <w:vAlign w:val="bottom"/>
            <w:shd w:val="clear" w:color="auto" w:fill="CBDBD1"/>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b w:val="1"/>
                <w:bCs w:val="1"/>
                <w:color w:val="auto"/>
              </w:rPr>
              <w:t>AND FINANCING ACTIVITIES:</w:t>
            </w:r>
          </w:p>
        </w:tc>
        <w:tc>
          <w:tcPr>
            <w:tcW w:w="100" w:type="dxa"/>
            <w:vAlign w:val="bottom"/>
            <w:shd w:val="clear" w:color="auto" w:fill="CBDBD1"/>
          </w:tcPr>
          <w:p>
            <w:pPr>
              <w:spacing w:after="0"/>
              <w:rPr>
                <w:sz w:val="20"/>
                <w:szCs w:val="20"/>
                <w:color w:val="auto"/>
              </w:rPr>
            </w:pPr>
          </w:p>
        </w:tc>
        <w:tc>
          <w:tcPr>
            <w:tcW w:w="114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180" w:type="dxa"/>
            <w:vAlign w:val="bottom"/>
            <w:shd w:val="clear" w:color="auto" w:fill="CBDBD1"/>
          </w:tcPr>
          <w:p>
            <w:pPr>
              <w:spacing w:after="0"/>
              <w:rPr>
                <w:sz w:val="20"/>
                <w:szCs w:val="20"/>
                <w:color w:val="auto"/>
              </w:rPr>
            </w:pPr>
          </w:p>
        </w:tc>
        <w:tc>
          <w:tcPr>
            <w:tcW w:w="100" w:type="dxa"/>
            <w:vAlign w:val="bottom"/>
            <w:shd w:val="clear" w:color="auto" w:fill="CBDBD1"/>
          </w:tcPr>
          <w:p>
            <w:pPr>
              <w:spacing w:after="0"/>
              <w:rPr>
                <w:sz w:val="20"/>
                <w:szCs w:val="20"/>
                <w:color w:val="auto"/>
              </w:rPr>
            </w:pPr>
          </w:p>
        </w:tc>
        <w:tc>
          <w:tcPr>
            <w:tcW w:w="120" w:type="dxa"/>
            <w:vAlign w:val="bottom"/>
            <w:shd w:val="clear" w:color="auto" w:fill="CBDBD1"/>
          </w:tcPr>
          <w:p>
            <w:pPr>
              <w:spacing w:after="0"/>
              <w:rPr>
                <w:sz w:val="20"/>
                <w:szCs w:val="20"/>
                <w:color w:val="auto"/>
              </w:rPr>
            </w:pPr>
          </w:p>
        </w:tc>
        <w:tc>
          <w:tcPr>
            <w:tcW w:w="1220" w:type="dxa"/>
            <w:vAlign w:val="bottom"/>
            <w:shd w:val="clear" w:color="auto" w:fill="CBDBD1"/>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480"/>
              <w:spacing w:after="0" w:line="201" w:lineRule="exact"/>
              <w:rPr>
                <w:sz w:val="20"/>
                <w:szCs w:val="20"/>
                <w:color w:val="auto"/>
              </w:rPr>
            </w:pPr>
            <w:r>
              <w:rPr>
                <w:rFonts w:ascii="Arial" w:cs="Arial" w:eastAsia="Arial" w:hAnsi="Arial"/>
                <w:sz w:val="18"/>
                <w:szCs w:val="18"/>
                <w:color w:val="auto"/>
                <w:w w:val="92"/>
              </w:rPr>
              <w:t>Distributions paid through issuance of notes payable - related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right w:val="single" w:sz="8" w:color="CBDBD1"/>
            </w:tcBorders>
            <w:shd w:val="clear" w:color="auto" w:fill="CBDBD1"/>
          </w:tcPr>
          <w:p>
            <w:pPr>
              <w:ind w:left="480"/>
              <w:spacing w:after="0"/>
              <w:rPr>
                <w:sz w:val="20"/>
                <w:szCs w:val="20"/>
                <w:color w:val="auto"/>
              </w:rPr>
            </w:pPr>
            <w:r>
              <w:rPr>
                <w:rFonts w:ascii="Arial" w:cs="Arial" w:eastAsia="Arial" w:hAnsi="Arial"/>
                <w:sz w:val="18"/>
                <w:szCs w:val="18"/>
                <w:color w:val="auto"/>
              </w:rPr>
              <w:t>Conversion of warrants to common stock</w:t>
            </w:r>
          </w:p>
        </w:tc>
        <w:tc>
          <w:tcPr>
            <w:tcW w:w="100" w:type="dxa"/>
            <w:vAlign w:val="bottom"/>
            <w:shd w:val="clear" w:color="auto" w:fill="CBDBD1"/>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153,816</w:t>
            </w:r>
          </w:p>
        </w:tc>
        <w:tc>
          <w:tcPr>
            <w:tcW w:w="220" w:type="dxa"/>
            <w:vAlign w:val="bottom"/>
            <w:gridSpan w:val="2"/>
            <w:shd w:val="clear" w:color="auto" w:fill="CBDBD1"/>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8"/>
                <w:szCs w:val="18"/>
                <w:color w:val="auto"/>
              </w:rPr>
              <w:t>859,101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52"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60;15,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9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wholly-owned subsidiary, OptimizeRx Corporation, is a development stage website publisher and marketing company that creates, promotes and fulfills custom marketing and advertising programs. The Company helps patients better afford and manage their rising healthcare costs. In addition, the Company also provides unique advertising programs to the pharmaceutical and healthcare industries. The Company's websites provide the following services: (i) OptimizeRx provides patients an opportunity to centrally review and participate in prescription and healthcare savings/support programs; (ii) OFFERx provides a platform to allow manufacturers to create, promote and fulfill new patient offer programs in over 64,000 pharmacies; and (iii) ADHERxE provides a platform that allows manufacturers to engage and monit or patients each month in exchange for activation of their monthly co-pay coupons.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accompanying financial statements have been prepared using the accrual basis of accounting in accordance with accounting principles generally accepted in the United States of America. The Company is currently a development stage enterprise. All losses accumulated since the inception of the business have been considered as part of its development stage activities. Revenues are recognized as income when earned and expenses are recognized when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MARCH 31,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The capital assets are being depreciated over their estimated useful lives using the straight-line method of depreciation for book purposes. As of October 18, 2007, the Company acquired the majority of its capital assets at the lower market cost from the Optimizer Systems, LLC.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660"/>
        <w:spacing w:after="0" w:line="323" w:lineRule="auto"/>
        <w:rPr>
          <w:sz w:val="20"/>
          <w:szCs w:val="20"/>
          <w:color w:val="auto"/>
        </w:rPr>
      </w:pPr>
      <w:r>
        <w:rPr>
          <w:rFonts w:ascii="Arial" w:cs="Arial" w:eastAsia="Arial" w:hAnsi="Arial"/>
          <w:sz w:val="16"/>
          <w:szCs w:val="16"/>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is currently in launch phase with ADHERxE to allow pharmaceutical and healthcare manufacturers a unique way to engage and monitor patients each month in exchange for activation of their next savings offer.</w:t>
      </w:r>
    </w:p>
    <w:p>
      <w:pPr>
        <w:spacing w:after="0" w:line="197"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Substantially all revenue is recognized when it is earned. All revenues are generated through the Company's website activities. The Company's processes are monitored by third parties who collect revenues from clients on a per activity basis and report and forward the revenue to the Company's account.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March 31, 2010 and March 31, 2009, respectively, since their effect is anti-dilutive.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ind w:left="660"/>
        <w:spacing w:after="0" w:line="292" w:lineRule="auto"/>
        <w:rPr>
          <w:sz w:val="20"/>
          <w:szCs w:val="20"/>
          <w:color w:val="auto"/>
        </w:rPr>
      </w:pPr>
      <w:r>
        <w:rPr>
          <w:rFonts w:ascii="Arial" w:cs="Arial" w:eastAsia="Arial" w:hAnsi="Arial"/>
          <w:sz w:val="16"/>
          <w:szCs w:val="16"/>
          <w:color w:val="auto"/>
        </w:rPr>
        <w:t>The accompanying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2009.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3 – PROPERTY AND EQUIPMENT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LLC owned equipment recorded at cost which consisted of the following:</w:t>
      </w:r>
    </w:p>
    <w:p>
      <w:pPr>
        <w:spacing w:after="0" w:line="252"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7"/>
              </w:rPr>
              <w:t>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90"/>
              </w:rPr>
              <w:t>December 31,</w:t>
            </w:r>
          </w:p>
        </w:tc>
      </w:tr>
      <w:tr>
        <w:trPr>
          <w:trHeight w:val="237"/>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200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12,594</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12,594</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4,294</w:t>
            </w:r>
          </w:p>
        </w:tc>
      </w:tr>
      <w:tr>
        <w:trPr>
          <w:trHeight w:val="216"/>
        </w:trPr>
        <w:tc>
          <w:tcPr>
            <w:tcW w:w="20" w:type="dxa"/>
            <w:vAlign w:val="bottom"/>
          </w:tcPr>
          <w:p>
            <w:pPr>
              <w:spacing w:after="0"/>
              <w:rPr>
                <w:sz w:val="18"/>
                <w:szCs w:val="18"/>
                <w:color w:val="auto"/>
              </w:rPr>
            </w:pPr>
          </w:p>
        </w:tc>
        <w:tc>
          <w:tcPr>
            <w:tcW w:w="2000" w:type="dxa"/>
            <w:vAlign w:val="bottom"/>
            <w:tcBorders>
              <w:right w:val="single" w:sz="8" w:color="CBDBD1"/>
            </w:tcBorders>
            <w:shd w:val="clear" w:color="auto" w:fill="CBDBD1"/>
          </w:tcPr>
          <w:p>
            <w:pPr>
              <w:ind w:left="20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BDBD1"/>
          </w:tcPr>
          <w:p>
            <w:pPr>
              <w:spacing w:after="0"/>
              <w:rPr>
                <w:sz w:val="18"/>
                <w:szCs w:val="18"/>
                <w:color w:val="auto"/>
              </w:rPr>
            </w:pP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16,888</w:t>
            </w: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94"/>
              </w:rPr>
              <w:t>Accumulated depreciation</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r>
      <w:tr>
        <w:trPr>
          <w:trHeight w:val="202"/>
        </w:trPr>
        <w:tc>
          <w:tcPr>
            <w:tcW w:w="20" w:type="dxa"/>
            <w:vAlign w:val="bottom"/>
          </w:tcPr>
          <w:p>
            <w:pPr>
              <w:spacing w:after="0"/>
              <w:rPr>
                <w:sz w:val="17"/>
                <w:szCs w:val="17"/>
                <w:color w:val="auto"/>
              </w:rPr>
            </w:pPr>
          </w:p>
        </w:tc>
        <w:tc>
          <w:tcPr>
            <w:tcW w:w="2000" w:type="dxa"/>
            <w:vAlign w:val="bottom"/>
            <w:tcBorders>
              <w:right w:val="single" w:sz="8" w:color="CBDBD1"/>
            </w:tcBorders>
            <w:shd w:val="clear" w:color="auto" w:fill="CBDBD1"/>
          </w:tcPr>
          <w:p>
            <w:pPr>
              <w:ind w:left="160"/>
              <w:spacing w:after="0" w:line="201" w:lineRule="exact"/>
              <w:rPr>
                <w:sz w:val="20"/>
                <w:szCs w:val="20"/>
                <w:color w:val="auto"/>
              </w:rPr>
            </w:pPr>
            <w:r>
              <w:rPr>
                <w:rFonts w:ascii="Arial" w:cs="Arial" w:eastAsia="Arial" w:hAnsi="Arial"/>
                <w:sz w:val="18"/>
                <w:szCs w:val="18"/>
                <w:color w:val="auto"/>
                <w:w w:val="91"/>
              </w:rPr>
              <w:t>Property and equipment,</w:t>
            </w:r>
          </w:p>
        </w:tc>
        <w:tc>
          <w:tcPr>
            <w:tcW w:w="140" w:type="dxa"/>
            <w:vAlign w:val="bottom"/>
            <w:shd w:val="clear" w:color="auto" w:fill="CBDBD1"/>
          </w:tcPr>
          <w:p>
            <w:pPr>
              <w:spacing w:after="0"/>
              <w:rPr>
                <w:sz w:val="17"/>
                <w:szCs w:val="17"/>
                <w:color w:val="auto"/>
              </w:rPr>
            </w:pPr>
          </w:p>
        </w:tc>
        <w:tc>
          <w:tcPr>
            <w:tcW w:w="10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180" w:type="dxa"/>
            <w:vAlign w:val="bottom"/>
            <w:shd w:val="clear" w:color="auto" w:fill="CBDBD1"/>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200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13,159</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13,581</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$422 and $422 for the three months ended March 31, 2010 and 2009,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4 – WEBSITE DEVELOPMENT COSTS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capitalized costs in developing their website, which consisted of the following:</w:t>
      </w:r>
    </w:p>
    <w:p>
      <w:pPr>
        <w:spacing w:after="0" w:line="252"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90"/>
              </w:rPr>
              <w:t>December 31,</w:t>
            </w:r>
          </w:p>
        </w:tc>
      </w:tr>
      <w:tr>
        <w:trPr>
          <w:trHeight w:val="237"/>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March 31, 2010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19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Website costs</w:t>
            </w:r>
          </w:p>
        </w:tc>
        <w:tc>
          <w:tcPr>
            <w:tcW w:w="320" w:type="dxa"/>
            <w:vAlign w:val="bottom"/>
            <w:shd w:val="clear" w:color="auto" w:fill="CBDBD1"/>
          </w:tcPr>
          <w:p>
            <w:pPr>
              <w:jc w:val="right"/>
              <w:ind w:righ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306,492</w:t>
            </w:r>
          </w:p>
        </w:tc>
        <w:tc>
          <w:tcPr>
            <w:tcW w:w="20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261,833</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2"/>
              </w:rPr>
              <w:t>Accumulated amortization</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(64,223)</w:t>
            </w:r>
          </w:p>
        </w:tc>
      </w:tr>
      <w:tr>
        <w:trPr>
          <w:trHeight w:val="202"/>
        </w:trPr>
        <w:tc>
          <w:tcPr>
            <w:tcW w:w="20" w:type="dxa"/>
            <w:vAlign w:val="bottom"/>
          </w:tcPr>
          <w:p>
            <w:pPr>
              <w:spacing w:after="0"/>
              <w:rPr>
                <w:sz w:val="17"/>
                <w:szCs w:val="17"/>
                <w:color w:val="auto"/>
              </w:rPr>
            </w:pPr>
          </w:p>
        </w:tc>
        <w:tc>
          <w:tcPr>
            <w:tcW w:w="1960" w:type="dxa"/>
            <w:vAlign w:val="bottom"/>
            <w:tcBorders>
              <w:right w:val="single" w:sz="8" w:color="CBDBD1"/>
            </w:tcBorders>
            <w:shd w:val="clear" w:color="auto" w:fill="CBDBD1"/>
          </w:tcPr>
          <w:p>
            <w:pPr>
              <w:ind w:left="140"/>
              <w:spacing w:after="0" w:line="201" w:lineRule="exact"/>
              <w:rPr>
                <w:sz w:val="20"/>
                <w:szCs w:val="20"/>
                <w:color w:val="auto"/>
              </w:rPr>
            </w:pPr>
            <w:r>
              <w:rPr>
                <w:rFonts w:ascii="Arial" w:cs="Arial" w:eastAsia="Arial" w:hAnsi="Arial"/>
                <w:sz w:val="18"/>
                <w:szCs w:val="18"/>
                <w:color w:val="auto"/>
              </w:rPr>
              <w:t>Website development</w:t>
            </w:r>
          </w:p>
        </w:tc>
        <w:tc>
          <w:tcPr>
            <w:tcW w:w="320" w:type="dxa"/>
            <w:vAlign w:val="bottom"/>
            <w:shd w:val="clear" w:color="auto" w:fill="CBDBD1"/>
          </w:tcPr>
          <w:p>
            <w:pPr>
              <w:spacing w:after="0"/>
              <w:rPr>
                <w:sz w:val="17"/>
                <w:szCs w:val="17"/>
                <w:color w:val="auto"/>
              </w:rPr>
            </w:pPr>
          </w:p>
        </w:tc>
        <w:tc>
          <w:tcPr>
            <w:tcW w:w="88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180" w:type="dxa"/>
            <w:vAlign w:val="bottom"/>
            <w:shd w:val="clear" w:color="auto" w:fill="CBDBD1"/>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96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8"/>
                <w:szCs w:val="18"/>
                <w:color w:val="auto"/>
              </w:rPr>
              <w:t>costs, net</w:t>
            </w:r>
          </w:p>
        </w:tc>
        <w:tc>
          <w:tcPr>
            <w:tcW w:w="320" w:type="dxa"/>
            <w:vAlign w:val="bottom"/>
            <w:shd w:val="clear" w:color="auto" w:fill="CBDBD1"/>
          </w:tcPr>
          <w:p>
            <w:pPr>
              <w:jc w:val="right"/>
              <w:ind w:righ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234,563</w:t>
            </w:r>
          </w:p>
        </w:tc>
        <w:tc>
          <w:tcPr>
            <w:tcW w:w="200" w:type="dxa"/>
            <w:vAlign w:val="bottom"/>
            <w:gridSpan w:val="2"/>
            <w:shd w:val="clear" w:color="auto" w:fill="CBDBD1"/>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197,610</w:t>
            </w: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five years, once it was put into service in December 2007. The Company is currently developing a new website and has capitalized $152,359. The site is currently in process and has not started to be amortized at March 31, 2010.</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$7,707 and $7,707 for the three months ended March 31, 2010 and 2009,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5 – ACCRUED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March 31,</w:t>
            </w:r>
          </w:p>
        </w:tc>
        <w:tc>
          <w:tcPr>
            <w:tcW w:w="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237"/>
        </w:trPr>
        <w:tc>
          <w:tcPr>
            <w:tcW w:w="4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2009</w:t>
            </w:r>
          </w:p>
        </w:tc>
        <w:tc>
          <w:tcPr>
            <w:tcW w:w="4000" w:type="dxa"/>
            <w:vAlign w:val="bottom"/>
          </w:tcPr>
          <w:p>
            <w:pPr>
              <w:spacing w:after="0"/>
              <w:rPr>
                <w:sz w:val="20"/>
                <w:szCs w:val="20"/>
                <w:color w:val="auto"/>
              </w:rPr>
            </w:pPr>
          </w:p>
        </w:tc>
      </w:tr>
      <w:tr>
        <w:trPr>
          <w:trHeight w:val="202"/>
        </w:trPr>
        <w:tc>
          <w:tcPr>
            <w:tcW w:w="4000" w:type="dxa"/>
            <w:vAlign w:val="bottom"/>
          </w:tcPr>
          <w:p>
            <w:pPr>
              <w:spacing w:after="0"/>
              <w:rPr>
                <w:sz w:val="17"/>
                <w:szCs w:val="17"/>
                <w:color w:val="auto"/>
              </w:rPr>
            </w:pPr>
          </w:p>
        </w:tc>
        <w:tc>
          <w:tcPr>
            <w:tcW w:w="1200" w:type="dxa"/>
            <w:vAlign w:val="bottom"/>
            <w:shd w:val="clear" w:color="auto" w:fill="CBDBD1"/>
          </w:tcPr>
          <w:p>
            <w:pPr>
              <w:spacing w:after="0" w:line="201" w:lineRule="exact"/>
              <w:rPr>
                <w:sz w:val="20"/>
                <w:szCs w:val="20"/>
                <w:color w:val="auto"/>
              </w:rPr>
            </w:pPr>
            <w:r>
              <w:rPr>
                <w:rFonts w:ascii="Arial" w:cs="Arial" w:eastAsia="Arial" w:hAnsi="Arial"/>
                <w:sz w:val="18"/>
                <w:szCs w:val="18"/>
                <w:color w:val="auto"/>
                <w:w w:val="95"/>
              </w:rPr>
              <w:t>Accrued payroll</w:t>
            </w:r>
          </w:p>
        </w:tc>
        <w:tc>
          <w:tcPr>
            <w:tcW w:w="100" w:type="dxa"/>
            <w:vAlign w:val="bottom"/>
            <w:shd w:val="clear" w:color="auto" w:fill="CBDBD1"/>
          </w:tcPr>
          <w:p>
            <w:pPr>
              <w:spacing w:after="0"/>
              <w:rPr>
                <w:sz w:val="17"/>
                <w:szCs w:val="17"/>
                <w:color w:val="auto"/>
              </w:rPr>
            </w:pPr>
          </w:p>
        </w:tc>
        <w:tc>
          <w:tcPr>
            <w:tcW w:w="84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100" w:type="dxa"/>
            <w:vAlign w:val="bottom"/>
            <w:shd w:val="clear" w:color="auto" w:fill="CBDBD1"/>
          </w:tcPr>
          <w:p>
            <w:pPr>
              <w:spacing w:after="0"/>
              <w:rPr>
                <w:sz w:val="17"/>
                <w:szCs w:val="17"/>
                <w:color w:val="auto"/>
              </w:rPr>
            </w:pPr>
          </w:p>
        </w:tc>
        <w:tc>
          <w:tcPr>
            <w:tcW w:w="4000" w:type="dxa"/>
            <w:vAlign w:val="bottom"/>
          </w:tcPr>
          <w:p>
            <w:pPr>
              <w:spacing w:after="0"/>
              <w:rPr>
                <w:sz w:val="17"/>
                <w:szCs w:val="17"/>
                <w:color w:val="auto"/>
              </w:rPr>
            </w:pPr>
          </w:p>
        </w:tc>
      </w:tr>
      <w:tr>
        <w:trPr>
          <w:trHeight w:val="230"/>
        </w:trPr>
        <w:tc>
          <w:tcPr>
            <w:tcW w:w="4000" w:type="dxa"/>
            <w:vAlign w:val="bottom"/>
          </w:tcPr>
          <w:p>
            <w:pPr>
              <w:spacing w:after="0"/>
              <w:rPr>
                <w:sz w:val="20"/>
                <w:szCs w:val="20"/>
                <w:color w:val="auto"/>
              </w:rPr>
            </w:pPr>
          </w:p>
        </w:tc>
        <w:tc>
          <w:tcPr>
            <w:tcW w:w="1200" w:type="dxa"/>
            <w:vAlign w:val="bottom"/>
            <w:shd w:val="clear" w:color="auto" w:fill="CBDBD1"/>
          </w:tcPr>
          <w:p>
            <w:pPr>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BDBD1"/>
          </w:tcPr>
          <w:p>
            <w:pPr>
              <w:spacing w:after="0"/>
              <w:rPr>
                <w:sz w:val="20"/>
                <w:szCs w:val="20"/>
                <w:color w:val="auto"/>
              </w:rPr>
            </w:pP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106</w:t>
            </w:r>
          </w:p>
        </w:tc>
        <w:tc>
          <w:tcPr>
            <w:tcW w:w="4000" w:type="dxa"/>
            <w:vAlign w:val="bottom"/>
          </w:tcPr>
          <w:p>
            <w:pPr>
              <w:spacing w:after="0"/>
              <w:rPr>
                <w:sz w:val="20"/>
                <w:szCs w:val="20"/>
                <w:color w:val="auto"/>
              </w:rPr>
            </w:pPr>
          </w:p>
        </w:tc>
      </w:tr>
      <w:tr>
        <w:trPr>
          <w:trHeight w:val="202"/>
        </w:trPr>
        <w:tc>
          <w:tcPr>
            <w:tcW w:w="400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Accrued audit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37"/>
        </w:trPr>
        <w:tc>
          <w:tcPr>
            <w:tcW w:w="4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fees</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w:t>
            </w:r>
          </w:p>
        </w:tc>
        <w:tc>
          <w:tcPr>
            <w:tcW w:w="4000" w:type="dxa"/>
            <w:vAlign w:val="bottom"/>
          </w:tcPr>
          <w:p>
            <w:pPr>
              <w:spacing w:after="0"/>
              <w:rPr>
                <w:sz w:val="20"/>
                <w:szCs w:val="20"/>
                <w:color w:val="auto"/>
              </w:rPr>
            </w:pPr>
          </w:p>
        </w:tc>
      </w:tr>
      <w:tr>
        <w:trPr>
          <w:trHeight w:val="202"/>
        </w:trPr>
        <w:tc>
          <w:tcPr>
            <w:tcW w:w="4000" w:type="dxa"/>
            <w:vAlign w:val="bottom"/>
          </w:tcPr>
          <w:p>
            <w:pPr>
              <w:spacing w:after="0"/>
              <w:rPr>
                <w:sz w:val="17"/>
                <w:szCs w:val="17"/>
                <w:color w:val="auto"/>
              </w:rPr>
            </w:pPr>
          </w:p>
        </w:tc>
        <w:tc>
          <w:tcPr>
            <w:tcW w:w="1200" w:type="dxa"/>
            <w:vAlign w:val="bottom"/>
            <w:shd w:val="clear" w:color="auto" w:fill="CBDBD1"/>
          </w:tcPr>
          <w:p>
            <w:pPr>
              <w:ind w:left="180"/>
              <w:spacing w:after="0" w:line="201" w:lineRule="exact"/>
              <w:rPr>
                <w:sz w:val="20"/>
                <w:szCs w:val="20"/>
                <w:color w:val="auto"/>
              </w:rPr>
            </w:pPr>
            <w:r>
              <w:rPr>
                <w:rFonts w:ascii="Arial" w:cs="Arial" w:eastAsia="Arial" w:hAnsi="Arial"/>
                <w:sz w:val="18"/>
                <w:szCs w:val="18"/>
                <w:color w:val="auto"/>
              </w:rPr>
              <w:t>Accrued</w:t>
            </w:r>
          </w:p>
        </w:tc>
        <w:tc>
          <w:tcPr>
            <w:tcW w:w="100" w:type="dxa"/>
            <w:vAlign w:val="bottom"/>
            <w:tcBorders>
              <w:top w:val="single" w:sz="8" w:color="auto"/>
            </w:tcBorders>
            <w:shd w:val="clear" w:color="auto" w:fill="CBDBD1"/>
          </w:tcPr>
          <w:p>
            <w:pPr>
              <w:spacing w:after="0"/>
              <w:rPr>
                <w:sz w:val="17"/>
                <w:szCs w:val="17"/>
                <w:color w:val="auto"/>
              </w:rPr>
            </w:pPr>
          </w:p>
        </w:tc>
        <w:tc>
          <w:tcPr>
            <w:tcW w:w="840" w:type="dxa"/>
            <w:vAlign w:val="bottom"/>
            <w:tcBorders>
              <w:top w:val="single" w:sz="8" w:color="auto"/>
            </w:tcBorders>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100" w:type="dxa"/>
            <w:vAlign w:val="bottom"/>
            <w:shd w:val="clear" w:color="auto" w:fill="CBDBD1"/>
          </w:tcPr>
          <w:p>
            <w:pPr>
              <w:spacing w:after="0"/>
              <w:rPr>
                <w:sz w:val="17"/>
                <w:szCs w:val="17"/>
                <w:color w:val="auto"/>
              </w:rPr>
            </w:pPr>
          </w:p>
        </w:tc>
        <w:tc>
          <w:tcPr>
            <w:tcW w:w="4000" w:type="dxa"/>
            <w:vAlign w:val="bottom"/>
          </w:tcPr>
          <w:p>
            <w:pPr>
              <w:spacing w:after="0"/>
              <w:rPr>
                <w:sz w:val="17"/>
                <w:szCs w:val="17"/>
                <w:color w:val="auto"/>
              </w:rPr>
            </w:pPr>
          </w:p>
        </w:tc>
      </w:tr>
      <w:tr>
        <w:trPr>
          <w:trHeight w:val="271"/>
        </w:trPr>
        <w:tc>
          <w:tcPr>
            <w:tcW w:w="4000" w:type="dxa"/>
            <w:vAlign w:val="bottom"/>
          </w:tcPr>
          <w:p>
            <w:pPr>
              <w:spacing w:after="0"/>
              <w:rPr>
                <w:sz w:val="23"/>
                <w:szCs w:val="23"/>
                <w:color w:val="auto"/>
              </w:rPr>
            </w:pPr>
          </w:p>
        </w:tc>
        <w:tc>
          <w:tcPr>
            <w:tcW w:w="120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BDBD1"/>
            </w:tcBorders>
            <w:shd w:val="clear" w:color="auto" w:fill="CBDBD1"/>
          </w:tcPr>
          <w:p>
            <w:pPr>
              <w:spacing w:after="0"/>
              <w:rPr>
                <w:sz w:val="23"/>
                <w:szCs w:val="23"/>
                <w:color w:val="auto"/>
              </w:rPr>
            </w:pPr>
          </w:p>
        </w:tc>
        <w:tc>
          <w:tcPr>
            <w:tcW w:w="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8"/>
                <w:szCs w:val="18"/>
                <w:color w:val="auto"/>
              </w:rPr>
              <w:t>4,606</w:t>
            </w:r>
          </w:p>
        </w:tc>
        <w:tc>
          <w:tcPr>
            <w:tcW w:w="4000" w:type="dxa"/>
            <w:vAlign w:val="bottom"/>
          </w:tcPr>
          <w:p>
            <w:pPr>
              <w:spacing w:after="0"/>
              <w:rPr>
                <w:sz w:val="23"/>
                <w:szCs w:val="23"/>
                <w:color w:val="auto"/>
              </w:rPr>
            </w:pPr>
          </w:p>
        </w:tc>
      </w:tr>
      <w:tr>
        <w:trPr>
          <w:trHeight w:val="652"/>
        </w:trPr>
        <w:tc>
          <w:tcPr>
            <w:tcW w:w="40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6 – COMMITMENTS AND CONTINGENCIES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their offices for $2,500 a month on a month-to-month rental.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7 – COMMON STOCK</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March 31, 2010. There were 12,881,156 and 12,826,117 common shares issued and outstanding at March 31, 2010 and December 31, 2009, respectively.</w:t>
      </w:r>
    </w:p>
    <w:p>
      <w:pPr>
        <w:spacing w:after="0" w:line="197"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Pursuant to the share exchange agreement with RFID, Ltd., 100% of OptimizeRx’s stock was exchanged for 10,664,000 shares of RFID’s common stock. At the time of the share exchange, RFID had an additional 1,256,958 shares of common stock issued and outstanding.</w:t>
      </w:r>
    </w:p>
    <w:p>
      <w:pPr>
        <w:spacing w:after="0" w:line="174"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During the three months ended March 31, 2010 and 2009, 12,000 and 160,000 shares were issued as compensation for services, respectively. Included in operating expenses at March 31, 2010 and 2009 is $27,960 and $696,000 for the issuance of these shares. There were 43,039 and 265,908 shares issued as a cashless exchange of common stock warrants during the three months ended March 31, 2010 and year ended December 31, 2009,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8 – PREFERRED STOCK</w:t>
      </w:r>
    </w:p>
    <w:p>
      <w:pPr>
        <w:spacing w:after="0" w:line="25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93"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 onversion price.</w:t>
      </w:r>
    </w:p>
    <w:p>
      <w:pPr>
        <w:spacing w:after="0" w:line="2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 As March 31, 2010, the cumulative dividend was $547,774; however, it has not yet been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9 – STOCK-BASED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January 1, 2006, the Company adopted SFAS No. 123 (revised), "Share-Based Payment: (SFAS 123(R), now ASC 505-50 and ASC 718-</w:t>
      </w:r>
    </w:p>
    <w:p>
      <w:pPr>
        <w:spacing w:after="0" w:line="46" w:lineRule="exact"/>
        <w:rPr>
          <w:sz w:val="20"/>
          <w:szCs w:val="20"/>
          <w:color w:val="auto"/>
        </w:rPr>
      </w:pPr>
    </w:p>
    <w:p>
      <w:pPr>
        <w:jc w:val="both"/>
        <w:ind w:left="660" w:hanging="4"/>
        <w:spacing w:after="0" w:line="255" w:lineRule="auto"/>
        <w:tabs>
          <w:tab w:leader="none" w:pos="946" w:val="left"/>
        </w:tabs>
        <w:numPr>
          <w:ilvl w:val="0"/>
          <w:numId w:val="2"/>
        </w:numPr>
        <w:rPr>
          <w:rFonts w:ascii="Arial" w:cs="Arial" w:eastAsia="Arial" w:hAnsi="Arial"/>
          <w:sz w:val="18"/>
          <w:szCs w:val="18"/>
          <w:color w:val="auto"/>
        </w:rPr>
      </w:pPr>
      <w:r>
        <w:rPr>
          <w:rFonts w:ascii="Arial" w:cs="Arial" w:eastAsia="Arial" w:hAnsi="Arial"/>
          <w:sz w:val="18"/>
          <w:szCs w:val="18"/>
          <w:color w:val="auto"/>
        </w:rPr>
        <w:t>utilizing the modified prospective approach. Prior to the adoption of SFAS 123(R) (ASC 505-50 and ASC 718-10) we accounted for stock option grant in accordance with APB Opinion No. 25, "Accounting for Stock Issued to Employees," and accordingly, recognized compensation expense for stock option grants using the intrinsic value method.</w:t>
      </w:r>
    </w:p>
    <w:p>
      <w:pPr>
        <w:spacing w:after="0" w:line="21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Under the modified prospective approach, SFAS 123(R) (ASC 505-50 and ASC 718-10)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(ASC 505-50 and ASC 718-10). For all quarters after the first quarter of fiscal 2006, compensation costs recognized will incl ude the compensation costs for all share-based payments granted based on the estimated grant date fair value.</w:t>
      </w:r>
    </w:p>
    <w:p>
      <w:pPr>
        <w:spacing w:after="0" w:line="19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 The Company recognized expense of $333,004 on the 365,000 options issued on March 5, 2008.</w:t>
      </w:r>
    </w:p>
    <w:p>
      <w:pPr>
        <w:spacing w:after="0" w:line="20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fair value of each option granted in 2009 is estimated on the date of grant using the Black-Scholes option-pricing model with the following weighted average assumptions: dividend yield of 0%, expected volatility of 44% to 233%, risk-free interest rate of 0.04% to 0.15% and expected life of 60 months. The Company recognized expense of $1,939,257 on the 1,050,000 options and warrants in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10 – STOCK WARRANTS</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During the three months ended March 31, 2010, the Company exchanged 75,400 common stock warrants with an exercise price of $1 for 43,039 shares of common stock in a cashless exchange. This exchange has been reflected in the stockholders’ equity for 2010.</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2009, the Company exchanged 173,000 common stock warrants with an exercise price of $1 and 108,908 common stock warrants with an exercise price of $2, for 265,908 shares of common stock in a cashless exchange. This exchange has been reflected in the stockholders' equity for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10 – STOCK WARRANTS (CONTINUED)</w:t>
      </w:r>
    </w:p>
    <w:p>
      <w:pPr>
        <w:spacing w:after="0" w:line="25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issued 300,000 stock warrants in connection with non-employee services. The Company also issued 750,000 warrants as part of employment agreements with various employees.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warrants issued in connection with the non-employee services at $616,079, and the employment agreements at $1,323,178, as o f December 31, 2009 using the Black-Scholes option pricing model.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11 – OTHER INCOME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consisted of the following for the three months ended March 31:</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r>
      <w:tr>
        <w:trPr>
          <w:trHeight w:val="216"/>
        </w:trPr>
        <w:tc>
          <w:tcPr>
            <w:tcW w:w="20" w:type="dxa"/>
            <w:vAlign w:val="bottom"/>
          </w:tcPr>
          <w:p>
            <w:pPr>
              <w:spacing w:after="0"/>
              <w:rPr>
                <w:sz w:val="18"/>
                <w:szCs w:val="18"/>
                <w:color w:val="auto"/>
              </w:rPr>
            </w:pPr>
          </w:p>
        </w:tc>
        <w:tc>
          <w:tcPr>
            <w:tcW w:w="2280" w:type="dxa"/>
            <w:vAlign w:val="bottom"/>
            <w:shd w:val="clear" w:color="auto" w:fill="CBDBD1"/>
          </w:tcPr>
          <w:p>
            <w:pPr>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BDBD1"/>
          </w:tcPr>
          <w:p>
            <w:pPr>
              <w:jc w:val="right"/>
              <w:ind w:right="5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9"/>
              </w:rPr>
              <w:t>905</w:t>
            </w:r>
          </w:p>
        </w:tc>
        <w:tc>
          <w:tcPr>
            <w:tcW w:w="340" w:type="dxa"/>
            <w:vAlign w:val="bottom"/>
            <w:gridSpan w:val="2"/>
            <w:shd w:val="clear" w:color="auto" w:fill="CBDBD1"/>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13,088</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Other income</w:t>
            </w: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16"/>
        </w:trPr>
        <w:tc>
          <w:tcPr>
            <w:tcW w:w="20" w:type="dxa"/>
            <w:vAlign w:val="bottom"/>
          </w:tcPr>
          <w:p>
            <w:pPr>
              <w:spacing w:after="0"/>
              <w:rPr>
                <w:sz w:val="18"/>
                <w:szCs w:val="18"/>
                <w:color w:val="auto"/>
              </w:rPr>
            </w:pPr>
          </w:p>
        </w:tc>
        <w:tc>
          <w:tcPr>
            <w:tcW w:w="2280" w:type="dxa"/>
            <w:vAlign w:val="bottom"/>
            <w:shd w:val="clear" w:color="auto" w:fill="CBDBD1"/>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BDBD1"/>
          </w:tcPr>
          <w:p>
            <w:pPr>
              <w:spacing w:after="0"/>
              <w:rPr>
                <w:sz w:val="18"/>
                <w:szCs w:val="18"/>
                <w:color w:val="auto"/>
              </w:rPr>
            </w:pPr>
          </w:p>
        </w:tc>
        <w:tc>
          <w:tcPr>
            <w:tcW w:w="320" w:type="dxa"/>
            <w:vAlign w:val="bottom"/>
            <w:shd w:val="clear" w:color="auto" w:fill="CBDBD1"/>
          </w:tcPr>
          <w:p>
            <w:pPr>
              <w:jc w:val="right"/>
              <w:spacing w:after="0"/>
              <w:rPr>
                <w:sz w:val="20"/>
                <w:szCs w:val="20"/>
                <w:color w:val="auto"/>
              </w:rPr>
            </w:pPr>
            <w:r>
              <w:rPr>
                <w:rFonts w:ascii="Arial" w:cs="Arial" w:eastAsia="Arial" w:hAnsi="Arial"/>
                <w:sz w:val="18"/>
                <w:szCs w:val="18"/>
                <w:color w:val="auto"/>
                <w:w w:val="93"/>
              </w:rPr>
              <w:t>(61)</w:t>
            </w:r>
          </w:p>
        </w:tc>
        <w:tc>
          <w:tcPr>
            <w:tcW w:w="100" w:type="dxa"/>
            <w:vAlign w:val="bottom"/>
            <w:shd w:val="clear" w:color="auto" w:fill="CBDBD1"/>
          </w:tcPr>
          <w:p>
            <w:pPr>
              <w:spacing w:after="0"/>
              <w:rPr>
                <w:sz w:val="18"/>
                <w:szCs w:val="18"/>
                <w:color w:val="auto"/>
              </w:rPr>
            </w:pPr>
          </w:p>
        </w:tc>
        <w:tc>
          <w:tcPr>
            <w:tcW w:w="240" w:type="dxa"/>
            <w:vAlign w:val="bottom"/>
            <w:shd w:val="clear" w:color="auto" w:fill="CBDBD1"/>
          </w:tcPr>
          <w:p>
            <w:pPr>
              <w:spacing w:after="0"/>
              <w:rPr>
                <w:sz w:val="18"/>
                <w:szCs w:val="18"/>
                <w:color w:val="auto"/>
              </w:rPr>
            </w:pPr>
          </w:p>
        </w:tc>
        <w:tc>
          <w:tcPr>
            <w:tcW w:w="900" w:type="dxa"/>
            <w:vAlign w:val="bottom"/>
            <w:shd w:val="clear" w:color="auto" w:fill="CBDBD1"/>
          </w:tcPr>
          <w:p>
            <w:pPr>
              <w:jc w:val="right"/>
              <w:spacing w:after="0"/>
              <w:rPr>
                <w:sz w:val="20"/>
                <w:szCs w:val="20"/>
                <w:color w:val="auto"/>
              </w:rPr>
            </w:pPr>
            <w:r>
              <w:rPr>
                <w:rFonts w:ascii="Arial" w:cs="Arial" w:eastAsia="Arial" w:hAnsi="Arial"/>
                <w:sz w:val="18"/>
                <w:szCs w:val="18"/>
                <w:color w:val="auto"/>
              </w:rPr>
              <w:t>(249)</w:t>
            </w:r>
          </w:p>
        </w:tc>
      </w:tr>
      <w:tr>
        <w:trPr>
          <w:trHeight w:val="202"/>
        </w:trPr>
        <w:tc>
          <w:tcPr>
            <w:tcW w:w="20" w:type="dxa"/>
            <w:vAlign w:val="bottom"/>
          </w:tcPr>
          <w:p>
            <w:pPr>
              <w:spacing w:after="0"/>
              <w:rPr>
                <w:sz w:val="17"/>
                <w:szCs w:val="17"/>
                <w:color w:val="auto"/>
              </w:rPr>
            </w:pPr>
          </w:p>
        </w:tc>
        <w:tc>
          <w:tcPr>
            <w:tcW w:w="2280" w:type="dxa"/>
            <w:vAlign w:val="bottom"/>
          </w:tcPr>
          <w:p>
            <w:pPr>
              <w:ind w:left="460"/>
              <w:spacing w:after="0" w:line="201" w:lineRule="exact"/>
              <w:rPr>
                <w:sz w:val="20"/>
                <w:szCs w:val="20"/>
                <w:color w:val="auto"/>
              </w:rPr>
            </w:pPr>
            <w:r>
              <w:rPr>
                <w:rFonts w:ascii="Arial" w:cs="Arial" w:eastAsia="Arial" w:hAnsi="Arial"/>
                <w:sz w:val="18"/>
                <w:szCs w:val="18"/>
                <w:color w:val="auto"/>
              </w:rPr>
              <w:t>Total other income</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60"/>
              <w:spacing w:after="0"/>
              <w:rPr>
                <w:sz w:val="20"/>
                <w:szCs w:val="20"/>
                <w:color w:val="auto"/>
              </w:rPr>
            </w:pPr>
            <w:r>
              <w:rPr>
                <w:rFonts w:ascii="Arial" w:cs="Arial" w:eastAsia="Arial" w:hAnsi="Arial"/>
                <w:sz w:val="18"/>
                <w:szCs w:val="18"/>
                <w:color w:val="auto"/>
              </w:rPr>
              <w:t>(expenses)</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844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14,310</w:t>
            </w: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12 – INCOME TAXES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the three months ended March 31, 2010, the Company incurred a net loss of approximately $261,000 and therefore has no tax liability. The Company began operations in 2007 and has previous net operating loss carry-forwards of $4,069,000 through December 31, 2009. The cumulative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31,</w:t>
            </w:r>
          </w:p>
        </w:tc>
        <w:tc>
          <w:tcPr>
            <w:tcW w:w="3420" w:type="dxa"/>
            <w:vAlign w:val="bottom"/>
          </w:tcPr>
          <w:p>
            <w:pPr>
              <w:spacing w:after="0"/>
              <w:rPr>
                <w:sz w:val="18"/>
                <w:szCs w:val="18"/>
                <w:color w:val="auto"/>
              </w:rPr>
            </w:pPr>
          </w:p>
        </w:tc>
      </w:tr>
      <w:tr>
        <w:trPr>
          <w:trHeight w:val="237"/>
        </w:trPr>
        <w:tc>
          <w:tcPr>
            <w:tcW w:w="3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March 31, 2010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2009</w:t>
            </w:r>
          </w:p>
        </w:tc>
        <w:tc>
          <w:tcPr>
            <w:tcW w:w="3420" w:type="dxa"/>
            <w:vAlign w:val="bottom"/>
          </w:tcPr>
          <w:p>
            <w:pPr>
              <w:spacing w:after="0"/>
              <w:rPr>
                <w:sz w:val="20"/>
                <w:szCs w:val="20"/>
                <w:color w:val="auto"/>
              </w:rPr>
            </w:pPr>
          </w:p>
        </w:tc>
      </w:tr>
      <w:tr>
        <w:trPr>
          <w:trHeight w:val="202"/>
        </w:trPr>
        <w:tc>
          <w:tcPr>
            <w:tcW w:w="3440" w:type="dxa"/>
            <w:vAlign w:val="bottom"/>
          </w:tcPr>
          <w:p>
            <w:pPr>
              <w:spacing w:after="0"/>
              <w:rPr>
                <w:sz w:val="17"/>
                <w:szCs w:val="17"/>
                <w:color w:val="auto"/>
              </w:rPr>
            </w:pPr>
          </w:p>
        </w:tc>
        <w:tc>
          <w:tcPr>
            <w:tcW w:w="1740" w:type="dxa"/>
            <w:vAlign w:val="bottom"/>
          </w:tcPr>
          <w:p>
            <w:pPr>
              <w:ind w:left="320"/>
              <w:spacing w:after="0" w:line="201" w:lineRule="exact"/>
              <w:rPr>
                <w:sz w:val="20"/>
                <w:szCs w:val="20"/>
                <w:color w:val="auto"/>
              </w:rPr>
            </w:pPr>
            <w:r>
              <w:rPr>
                <w:rFonts w:ascii="Arial" w:cs="Arial" w:eastAsia="Arial" w:hAnsi="Arial"/>
                <w:sz w:val="18"/>
                <w:szCs w:val="18"/>
                <w:color w:val="auto"/>
                <w:w w:val="95"/>
              </w:rPr>
              <w:t>Deferred tax asset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attributable to:</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02"/>
        </w:trPr>
        <w:tc>
          <w:tcPr>
            <w:tcW w:w="3440" w:type="dxa"/>
            <w:vAlign w:val="bottom"/>
          </w:tcPr>
          <w:p>
            <w:pPr>
              <w:spacing w:after="0"/>
              <w:rPr>
                <w:sz w:val="17"/>
                <w:szCs w:val="17"/>
                <w:color w:val="auto"/>
              </w:rPr>
            </w:pPr>
          </w:p>
        </w:tc>
        <w:tc>
          <w:tcPr>
            <w:tcW w:w="1740" w:type="dxa"/>
            <w:vAlign w:val="bottom"/>
            <w:shd w:val="clear" w:color="auto" w:fill="CBDBD1"/>
          </w:tcPr>
          <w:p>
            <w:pPr>
              <w:ind w:left="400"/>
              <w:spacing w:after="0" w:line="201" w:lineRule="exact"/>
              <w:rPr>
                <w:sz w:val="20"/>
                <w:szCs w:val="20"/>
                <w:color w:val="auto"/>
              </w:rPr>
            </w:pPr>
            <w:r>
              <w:rPr>
                <w:rFonts w:ascii="Arial" w:cs="Arial" w:eastAsia="Arial" w:hAnsi="Arial"/>
                <w:sz w:val="18"/>
                <w:szCs w:val="18"/>
                <w:color w:val="auto"/>
                <w:w w:val="90"/>
              </w:rPr>
              <w:t>Net operating loss</w:t>
            </w:r>
          </w:p>
        </w:tc>
        <w:tc>
          <w:tcPr>
            <w:tcW w:w="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6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40" w:type="dxa"/>
            <w:vAlign w:val="bottom"/>
            <w:shd w:val="clear" w:color="auto" w:fill="CBDBD1"/>
          </w:tcPr>
          <w:p>
            <w:pPr>
              <w:spacing w:after="0"/>
              <w:rPr>
                <w:sz w:val="17"/>
                <w:szCs w:val="17"/>
                <w:color w:val="auto"/>
              </w:rPr>
            </w:pPr>
          </w:p>
        </w:tc>
        <w:tc>
          <w:tcPr>
            <w:tcW w:w="342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p>
        </w:tc>
        <w:tc>
          <w:tcPr>
            <w:tcW w:w="1740" w:type="dxa"/>
            <w:vAlign w:val="bottom"/>
            <w:shd w:val="clear" w:color="auto" w:fill="CBDBD1"/>
          </w:tcPr>
          <w:p>
            <w:pPr>
              <w:ind w:left="320"/>
              <w:spacing w:after="0"/>
              <w:rPr>
                <w:sz w:val="20"/>
                <w:szCs w:val="20"/>
                <w:color w:val="auto"/>
              </w:rPr>
            </w:pPr>
            <w:r>
              <w:rPr>
                <w:rFonts w:ascii="Arial" w:cs="Arial" w:eastAsia="Arial" w:hAnsi="Arial"/>
                <w:sz w:val="18"/>
                <w:szCs w:val="18"/>
                <w:color w:val="auto"/>
              </w:rPr>
              <w:t>carryover</w:t>
            </w:r>
          </w:p>
        </w:tc>
        <w:tc>
          <w:tcPr>
            <w:tcW w:w="1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1,472,200</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1,383,460</w:t>
            </w:r>
          </w:p>
        </w:tc>
        <w:tc>
          <w:tcPr>
            <w:tcW w:w="3420" w:type="dxa"/>
            <w:vAlign w:val="bottom"/>
          </w:tcPr>
          <w:p>
            <w:pPr>
              <w:spacing w:after="0"/>
              <w:rPr>
                <w:sz w:val="20"/>
                <w:szCs w:val="20"/>
                <w:color w:val="auto"/>
              </w:rPr>
            </w:pPr>
          </w:p>
        </w:tc>
      </w:tr>
      <w:tr>
        <w:trPr>
          <w:trHeight w:val="202"/>
        </w:trPr>
        <w:tc>
          <w:tcPr>
            <w:tcW w:w="3440" w:type="dxa"/>
            <w:vAlign w:val="bottom"/>
          </w:tcPr>
          <w:p>
            <w:pPr>
              <w:spacing w:after="0"/>
              <w:rPr>
                <w:sz w:val="17"/>
                <w:szCs w:val="17"/>
                <w:color w:val="auto"/>
              </w:rPr>
            </w:pPr>
          </w:p>
        </w:tc>
        <w:tc>
          <w:tcPr>
            <w:tcW w:w="1740" w:type="dxa"/>
            <w:vAlign w:val="bottom"/>
          </w:tcPr>
          <w:p>
            <w:pPr>
              <w:ind w:left="400"/>
              <w:spacing w:after="0" w:line="201" w:lineRule="exact"/>
              <w:rPr>
                <w:sz w:val="20"/>
                <w:szCs w:val="20"/>
                <w:color w:val="auto"/>
              </w:rPr>
            </w:pPr>
            <w:r>
              <w:rPr>
                <w:rFonts w:ascii="Arial" w:cs="Arial" w:eastAsia="Arial" w:hAnsi="Arial"/>
                <w:sz w:val="18"/>
                <w:szCs w:val="18"/>
                <w:color w:val="auto"/>
              </w:rPr>
              <w:t>Valuation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37"/>
        </w:trPr>
        <w:tc>
          <w:tcPr>
            <w:tcW w:w="344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allowance</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(1,472,000)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(1,383,460)</w:t>
            </w:r>
          </w:p>
        </w:tc>
        <w:tc>
          <w:tcPr>
            <w:tcW w:w="3420" w:type="dxa"/>
            <w:vAlign w:val="bottom"/>
          </w:tcPr>
          <w:p>
            <w:pPr>
              <w:spacing w:after="0"/>
              <w:rPr>
                <w:sz w:val="20"/>
                <w:szCs w:val="20"/>
                <w:color w:val="auto"/>
              </w:rPr>
            </w:pPr>
          </w:p>
        </w:tc>
      </w:tr>
      <w:tr>
        <w:trPr>
          <w:trHeight w:val="202"/>
        </w:trPr>
        <w:tc>
          <w:tcPr>
            <w:tcW w:w="3440" w:type="dxa"/>
            <w:vAlign w:val="bottom"/>
          </w:tcPr>
          <w:p>
            <w:pPr>
              <w:spacing w:after="0"/>
              <w:rPr>
                <w:sz w:val="17"/>
                <w:szCs w:val="17"/>
                <w:color w:val="auto"/>
              </w:rPr>
            </w:pPr>
          </w:p>
        </w:tc>
        <w:tc>
          <w:tcPr>
            <w:tcW w:w="1740" w:type="dxa"/>
            <w:vAlign w:val="bottom"/>
            <w:shd w:val="clear" w:color="auto" w:fill="CBDBD1"/>
          </w:tcPr>
          <w:p>
            <w:pPr>
              <w:ind w:left="580"/>
              <w:spacing w:after="0" w:line="201" w:lineRule="exact"/>
              <w:rPr>
                <w:sz w:val="20"/>
                <w:szCs w:val="20"/>
                <w:color w:val="auto"/>
              </w:rPr>
            </w:pPr>
            <w:r>
              <w:rPr>
                <w:rFonts w:ascii="Arial" w:cs="Arial" w:eastAsia="Arial" w:hAnsi="Arial"/>
                <w:sz w:val="18"/>
                <w:szCs w:val="18"/>
                <w:color w:val="auto"/>
              </w:rPr>
              <w:t>Net deferred</w:t>
            </w:r>
          </w:p>
        </w:tc>
        <w:tc>
          <w:tcPr>
            <w:tcW w:w="20" w:type="dxa"/>
            <w:vAlign w:val="bottom"/>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26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40" w:type="dxa"/>
            <w:vAlign w:val="bottom"/>
            <w:shd w:val="clear" w:color="auto" w:fill="CBDBD1"/>
          </w:tcPr>
          <w:p>
            <w:pPr>
              <w:spacing w:after="0"/>
              <w:rPr>
                <w:sz w:val="17"/>
                <w:szCs w:val="17"/>
                <w:color w:val="auto"/>
              </w:rPr>
            </w:pPr>
          </w:p>
        </w:tc>
        <w:tc>
          <w:tcPr>
            <w:tcW w:w="3420" w:type="dxa"/>
            <w:vAlign w:val="bottom"/>
          </w:tcPr>
          <w:p>
            <w:pPr>
              <w:spacing w:after="0"/>
              <w:rPr>
                <w:sz w:val="17"/>
                <w:szCs w:val="17"/>
                <w:color w:val="auto"/>
              </w:rPr>
            </w:pPr>
          </w:p>
        </w:tc>
      </w:tr>
      <w:tr>
        <w:trPr>
          <w:trHeight w:val="271"/>
        </w:trPr>
        <w:tc>
          <w:tcPr>
            <w:tcW w:w="3440" w:type="dxa"/>
            <w:vAlign w:val="bottom"/>
          </w:tcPr>
          <w:p>
            <w:pPr>
              <w:spacing w:after="0"/>
              <w:rPr>
                <w:sz w:val="23"/>
                <w:szCs w:val="23"/>
                <w:color w:val="auto"/>
              </w:rPr>
            </w:pPr>
          </w:p>
        </w:tc>
        <w:tc>
          <w:tcPr>
            <w:tcW w:w="1740" w:type="dxa"/>
            <w:vAlign w:val="bottom"/>
            <w:shd w:val="clear" w:color="auto" w:fill="CBDBD1"/>
          </w:tcPr>
          <w:p>
            <w:pPr>
              <w:ind w:left="320"/>
              <w:spacing w:after="0"/>
              <w:rPr>
                <w:sz w:val="20"/>
                <w:szCs w:val="20"/>
                <w:color w:val="auto"/>
              </w:rPr>
            </w:pPr>
            <w:r>
              <w:rPr>
                <w:rFonts w:ascii="Arial" w:cs="Arial" w:eastAsia="Arial" w:hAnsi="Arial"/>
                <w:sz w:val="18"/>
                <w:szCs w:val="18"/>
                <w:color w:val="auto"/>
              </w:rPr>
              <w:t>tax asset</w:t>
            </w:r>
          </w:p>
        </w:tc>
        <w:tc>
          <w:tcPr>
            <w:tcW w:w="100" w:type="dxa"/>
            <w:vAlign w:val="bottom"/>
            <w:gridSpan w:val="2"/>
            <w:shd w:val="clear" w:color="auto" w:fill="CBDBD1"/>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2"/>
            <w:shd w:val="clear" w:color="auto" w:fill="CBDBD1"/>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BDBD1"/>
          </w:tcPr>
          <w:p>
            <w:pPr>
              <w:jc w:val="right"/>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3"/>
                <w:szCs w:val="23"/>
                <w:color w:val="auto"/>
              </w:rPr>
            </w:pPr>
          </w:p>
        </w:tc>
      </w:tr>
      <w:tr>
        <w:trPr>
          <w:trHeight w:val="652"/>
        </w:trPr>
        <w:tc>
          <w:tcPr>
            <w:tcW w:w="3440" w:type="dxa"/>
            <w:vAlign w:val="bottom"/>
            <w:tcBorders>
              <w:bottom w:val="single" w:sz="8" w:color="808080"/>
            </w:tcBorders>
          </w:tcPr>
          <w:p>
            <w:pPr>
              <w:spacing w:after="0"/>
              <w:rPr>
                <w:sz w:val="24"/>
                <w:szCs w:val="24"/>
                <w:color w:val="auto"/>
              </w:rPr>
            </w:pPr>
          </w:p>
        </w:tc>
        <w:tc>
          <w:tcPr>
            <w:tcW w:w="1740" w:type="dxa"/>
            <w:vAlign w:val="bottom"/>
            <w:tcBorders>
              <w:top w:val="single" w:sz="8" w:color="CBDBD1"/>
              <w:bottom w:val="single" w:sz="8" w:color="808080"/>
            </w:tcBorders>
          </w:tcPr>
          <w:p>
            <w:pPr>
              <w:spacing w:after="0"/>
              <w:rPr>
                <w:sz w:val="24"/>
                <w:szCs w:val="24"/>
                <w:color w:val="auto"/>
              </w:rPr>
            </w:pPr>
          </w:p>
        </w:tc>
        <w:tc>
          <w:tcPr>
            <w:tcW w:w="20" w:type="dxa"/>
            <w:vAlign w:val="bottom"/>
            <w:tcBorders>
              <w:top w:val="single" w:sz="8" w:color="CBDBD1"/>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12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BDBD1"/>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240" w:type="dxa"/>
            <w:vAlign w:val="bottom"/>
            <w:tcBorders>
              <w:top w:val="single" w:sz="8" w:color="auto"/>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MARCH 31,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13 – GOING CONCERN</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their plans for increases in revenues will provide the opportunity for the Company to continue as a going concern.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14 – SUBSEQUENT EVENTS</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has analyzed its operations subsequent to March 31, 2010 through the date these financial statements were filed with the Securities and Exchange Commission and has determined that it does not have any material subsequent events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 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Since our formation, our initial concentration had been on developing our direct to consumer business strategy and obtaining financing. We planned to expand awareness, traffic and database to our patient savings portal OPTIMIZERx.com, as well as the launch of our offer development systems OFFERx™ and ADHERxE. The primary components of our direct to consumer business are:</w:t>
      </w:r>
    </w:p>
    <w:p>
      <w:pPr>
        <w:spacing w:after="0" w:line="208" w:lineRule="exact"/>
        <w:rPr>
          <w:sz w:val="20"/>
          <w:szCs w:val="20"/>
          <w:color w:val="auto"/>
        </w:rPr>
      </w:pPr>
    </w:p>
    <w:p>
      <w:pPr>
        <w:ind w:left="760" w:hanging="28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online patient savings portal OPTIMIZERx.com and our network affiliates</w:t>
      </w:r>
    </w:p>
    <w:p>
      <w:pPr>
        <w:spacing w:after="0" w:line="23" w:lineRule="exact"/>
        <w:rPr>
          <w:rFonts w:ascii="Arial" w:cs="Arial" w:eastAsia="Arial" w:hAnsi="Arial"/>
          <w:sz w:val="18"/>
          <w:szCs w:val="18"/>
          <w:color w:val="auto"/>
        </w:rPr>
      </w:pPr>
    </w:p>
    <w:p>
      <w:pPr>
        <w:ind w:left="760" w:hanging="28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OFFERx to develop, promote and fulfill new offers from pharmaceutical and healthcare manufactures</w:t>
      </w:r>
    </w:p>
    <w:p>
      <w:pPr>
        <w:spacing w:after="0" w:line="9" w:lineRule="exact"/>
        <w:rPr>
          <w:rFonts w:ascii="Arial" w:cs="Arial" w:eastAsia="Arial" w:hAnsi="Arial"/>
          <w:sz w:val="18"/>
          <w:szCs w:val="18"/>
          <w:color w:val="auto"/>
        </w:rPr>
      </w:pPr>
    </w:p>
    <w:p>
      <w:pPr>
        <w:ind w:left="800" w:hanging="32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ADHERxE to allow manufacturers to re-engage their customers through the activation of new savings each month</w:t>
      </w:r>
    </w:p>
    <w:p>
      <w:pPr>
        <w:spacing w:after="0" w:line="238" w:lineRule="exact"/>
        <w:rPr>
          <w:sz w:val="20"/>
          <w:szCs w:val="20"/>
          <w:color w:val="auto"/>
        </w:rPr>
      </w:pPr>
    </w:p>
    <w:p>
      <w:pPr>
        <w:ind w:right="220" w:firstLine="42"/>
        <w:spacing w:after="0" w:line="277" w:lineRule="auto"/>
        <w:rPr>
          <w:sz w:val="20"/>
          <w:szCs w:val="20"/>
          <w:color w:val="auto"/>
        </w:rPr>
      </w:pPr>
      <w:r>
        <w:rPr>
          <w:rFonts w:ascii="Arial" w:cs="Arial" w:eastAsia="Arial" w:hAnsi="Arial"/>
          <w:sz w:val="18"/>
          <w:szCs w:val="18"/>
          <w:color w:val="auto"/>
        </w:rPr>
        <w:t>We plan to generate revenues through: (i) advertising sales from our Site and affiliate network; (ii) its database; (iii) direct marketing and sponsorships and (iv) our platforms to create, promote and manage new savings offers for additional clients.</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acquired over two million members to date. Upon this, management has been preparing and addressing all key issues to successfully serve and monetize the membership database, including: content, procurement of advertising sponsorships, technology and distribution. We originally planned to extend our reach and visibility through increased online, print and broadcast marketing to increase traffic and our database of qualified health care consumers. However, with our current membership base, along with the short period of time since acquiring the majority of our members and the sales cycle of attaining sponsorship and industry advertising programs to this new asset, we have minimally engaged in marketing to our database.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Management continues to believe the OPTIMIZERx database will be a very significant, on-going revenue stream over time. Currently we have a number of advertising proposals pending to major pharmaceutical companies and agencies, including Lilly, AstraZeneca, and Novartis, and are working with media and channel partners to continue to seek new ways to monetize.</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past year, the company had also invested in the development of its Direct to Physician solution ‘SampleMD. Today, almost 2/3 of doctors’ offices ban or limit drug representative and samples. Although samples are still valuable in validating prescribed therapies, many healthcare systems and doctors are looking for an easier, more effective way to both administer and distribute samples while increasing affordable access and adherence to their prescribed branded medications. Based on this we have built SampleMD, a solution targeting at providing a new way to administer and distribute samples and co-pays direct from the physician and benefiting the patient consumer.</w:t>
      </w:r>
    </w:p>
    <w:p>
      <w:pPr>
        <w:spacing w:after="0" w:line="21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SampleMD was announced to the marketplace in October 2009 with great interest from the physician groups, IDN’s and GPO’s as well as the pharmaceutical manufacturers. With ease of use for the physicians, samples can again be prescribed to validate treatment of patients, and with greater reporting capabilities, the manufacturers now gain greater transparency to information relative to sample distribution and utilization.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first quarter of 2010 has been very busy for SampleMD. In February 2010, we signed an agreement with Health Connect Partners, Inc. as the VIP sponsor of the 2010 HCP Spring Hospital Pharmacy Conference in San Diego. As provided in the agreement, Health Connect Partners introduced SampleMD to health care organizations at the conference that was held on April 12-14. This agreement allowed for a keynote presentation, hosting a solution suite for personal demonstrations of the SampleMD solution, and many critical networking opportunities.</w:t>
      </w:r>
    </w:p>
    <w:p>
      <w:pPr>
        <w:spacing w:after="0" w:line="21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Additionally, we have signed Health Care Provider agreements with Dreyer Medical Clinic and Michigan Academy of Family Physicians as their system for providing sample vouchers and prescription co-pay coupon offerings to their patients, and a channel partner agreement with MedAssets Supply Chain Systems to implement our SampleMD among their represented 125 health systems, 3,300 hospitals, and nearly 40,000 doctors.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2010 and 2009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reported for three months ended March 31, 2010 was $1,283, a nominal increase from $1,271 for the three months ended March 31,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expenses decreased to $263,094 for the three months ended March 31, 2010 from $1,376,304 for the same period ended 2009. Our operating expenses for the three months ended March 31, 2010 consisted mainly of advertising expenses of $34,104, computer and internet expenses of $5,084, consulting fees of $31,644, amortization expenses of $7,707, taxes-payroll expenses of $10,053, employee benefits of $6,451, legal and accounting expenses of $10,756, payroll of $120,720, and rent expenses of $7,500. Our operating expenses for the three months ended March 31, 2009 consisted mainly of advertising expenses of $307,570, computer and interest expenses of $6,901, consulting fees of $876,795, amortization expenses of $7,707, education and training expenses of $6,585, taxes-payroll expenses of $8,607, website maintenance expen ses of $15,650, payroll of $101,650, rent expense of $7,500, and travel costs of $14,288.</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income was $844 for three months ended March 31, 2010 a decrease from other income of $14,310 for same period ended 2009. The other income for both periods is attributable to interest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March 31, 2010 was $260,967, compared to net loss of $1,360,723 for the same period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2010, we had total current assets of $385,462 and total assets in the amount of $633,184. Our total current liabilities as of March 31, 2010 were $13,879. We had working capital of $371,583 as of March 31, 2010.</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Operating activities used $240,322 in cash for the three months ended March 31, 2010. Our net loss of $260,967 was the primary component of our negative operating cash flow, offset mainly by $27,960 in stock issued for services. Investing activities used $44,660 during the three months ended March 31, 2010 as a result of website development costs. We had no cash flows in financing activities during the three months ended March 31, 2010.</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March 31, 2010, we have insufficient cash to operate our business at the current level for the next twelve months and insufficient cash to achieve our business goals. The success of our business plan beyond the next 12 months is contingent upon us obtaining additional financing. We intend to fund operations through debt and/or equity financing arrangements, which may be insufficient to fund our capital expenditures, working capital, or other cash requirements. While we are currently in negotiations with Vicis Capital Master Fund to obtain financing, we do not have any formal commitments or arrangements for the sales of stock or the advancement or loan of funds at this time. There can be no assurance that such additional financing will be available to us on acceptable terms, or at all.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2010, there were no off balance sheet arrangements.</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March 31, 2010. This evaluation was carried out under the supervision and with the participation of our Chief Executive Officer and Chief Financial Officer, Mr. David Lester. Based upon that evaluation, our Chief Executive Officer and Chief Financial Officer concluded that, as of March 31, 2010, our disclosure controls and procedures are effective. There have been no significant changes in our internal controls over financial reporting during the quarter ended March 31, 2010 that have materially affected or are reasonably likely to materially affect such controls.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 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the current reporting period, we issued 12,000 shares of our common stock to Health Connect Partners, Inc. in connection with a sponsorship agreement to introduce our products at the 2010 HCP Spring Hospital Pharmacy Conference in San Diego.</w:t>
      </w:r>
    </w:p>
    <w:p>
      <w:pPr>
        <w:spacing w:after="0" w:line="1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current reporting period, we exchanged 75,400 common stock warrants with an exercise price of $1 for 43,039 shares of common stock in a cashless exchange.</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10700" w:type="dxa"/>
            <w:vAlign w:val="bottom"/>
            <w:gridSpan w:val="4"/>
          </w:tcPr>
          <w:p>
            <w:pPr>
              <w:ind w:left="60"/>
              <w:spacing w:after="0"/>
              <w:rPr>
                <w:sz w:val="20"/>
                <w:szCs w:val="20"/>
                <w:color w:val="auto"/>
              </w:rPr>
            </w:pPr>
            <w:r>
              <w:rPr>
                <w:rFonts w:ascii="Arial" w:cs="Arial" w:eastAsia="Arial" w:hAnsi="Arial"/>
                <w:sz w:val="18"/>
                <w:szCs w:val="18"/>
                <w:b w:val="1"/>
                <w:bCs w:val="1"/>
                <w:color w:val="auto"/>
              </w:rPr>
              <w:t>Defaults upon Senior Securities</w:t>
            </w: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60" w:type="dxa"/>
            <w:vAlign w:val="bottom"/>
          </w:tcPr>
          <w:p>
            <w:pPr>
              <w:spacing w:after="0"/>
              <w:rPr>
                <w:sz w:val="24"/>
                <w:szCs w:val="24"/>
                <w:color w:val="auto"/>
              </w:rPr>
            </w:pPr>
          </w:p>
        </w:tc>
      </w:tr>
      <w:tr>
        <w:trPr>
          <w:trHeight w:val="459"/>
        </w:trPr>
        <w:tc>
          <w:tcPr>
            <w:tcW w:w="11420" w:type="dxa"/>
            <w:vAlign w:val="bottom"/>
            <w:gridSpan w:val="6"/>
          </w:tcPr>
          <w:p>
            <w:pPr>
              <w:spacing w:after="0"/>
              <w:rPr>
                <w:sz w:val="20"/>
                <w:szCs w:val="20"/>
                <w:color w:val="auto"/>
              </w:rPr>
            </w:pPr>
            <w:r>
              <w:rPr>
                <w:rFonts w:ascii="Arial" w:cs="Arial" w:eastAsia="Arial" w:hAnsi="Arial"/>
                <w:sz w:val="18"/>
                <w:szCs w:val="18"/>
                <w:b w:val="1"/>
                <w:bCs w:val="1"/>
                <w:color w:val="auto"/>
              </w:rPr>
              <w:t>Item 4.   Removed and Reserved</w:t>
            </w: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700" w:type="dxa"/>
            <w:vAlign w:val="bottom"/>
            <w:gridSpan w:val="4"/>
          </w:tcPr>
          <w:p>
            <w:pPr>
              <w:ind w:left="60"/>
              <w:spacing w:after="0"/>
              <w:rPr>
                <w:sz w:val="20"/>
                <w:szCs w:val="20"/>
                <w:color w:val="auto"/>
              </w:rPr>
            </w:pPr>
            <w:r>
              <w:rPr>
                <w:rFonts w:ascii="Arial" w:cs="Arial" w:eastAsia="Arial" w:hAnsi="Arial"/>
                <w:sz w:val="18"/>
                <w:szCs w:val="18"/>
                <w:b w:val="1"/>
                <w:bCs w:val="1"/>
                <w:color w:val="auto"/>
              </w:rPr>
              <w:t>Other Information</w:t>
            </w: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60" w:type="dxa"/>
            <w:vAlign w:val="bottom"/>
          </w:tcPr>
          <w:p>
            <w:pPr>
              <w:spacing w:after="0"/>
              <w:rPr>
                <w:sz w:val="24"/>
                <w:szCs w:val="24"/>
                <w:color w:val="auto"/>
              </w:rPr>
            </w:pP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20"/>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60" w:type="dxa"/>
            <w:vAlign w:val="bottom"/>
          </w:tcPr>
          <w:p>
            <w:pPr>
              <w:spacing w:after="0"/>
              <w:rPr>
                <w:sz w:val="19"/>
                <w:szCs w:val="19"/>
                <w:color w:val="auto"/>
              </w:rPr>
            </w:pPr>
          </w:p>
        </w:tc>
      </w:tr>
      <w:tr>
        <w:trPr>
          <w:trHeight w:val="190"/>
        </w:trPr>
        <w:tc>
          <w:tcPr>
            <w:tcW w:w="720" w:type="dxa"/>
            <w:vAlign w:val="bottom"/>
            <w:gridSpan w:val="2"/>
          </w:tcPr>
          <w:p>
            <w:pPr>
              <w:spacing w:after="0" w:line="190"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320" w:type="dxa"/>
            <w:vAlign w:val="bottom"/>
          </w:tcPr>
          <w:p>
            <w:pPr>
              <w:spacing w:after="0"/>
              <w:rPr>
                <w:sz w:val="16"/>
                <w:szCs w:val="16"/>
                <w:color w:val="auto"/>
              </w:rPr>
            </w:pPr>
          </w:p>
        </w:tc>
        <w:tc>
          <w:tcPr>
            <w:tcW w:w="10380" w:type="dxa"/>
            <w:vAlign w:val="bottom"/>
            <w:gridSpan w:val="3"/>
          </w:tcPr>
          <w:p>
            <w:pPr>
              <w:spacing w:after="0" w:line="190" w:lineRule="exact"/>
              <w:rPr>
                <w:sz w:val="20"/>
                <w:szCs w:val="20"/>
                <w:color w:val="auto"/>
              </w:rPr>
            </w:pPr>
            <w:r>
              <w:rPr>
                <w:rFonts w:ascii="Arial" w:cs="Arial" w:eastAsia="Arial" w:hAnsi="Arial"/>
                <w:sz w:val="18"/>
                <w:szCs w:val="18"/>
                <w:color w:val="0000EE"/>
                <w:w w:val="92"/>
              </w:rPr>
              <w:t>Certification of Chief Executive Officer pursuant to 18 U.S.C. Section 1350, as adopted pursuant to Section 302 of the Sarbanes-Oxley Act of</w:t>
            </w:r>
          </w:p>
        </w:tc>
      </w:tr>
      <w:tr>
        <w:trPr>
          <w:trHeight w:val="196"/>
        </w:trPr>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960" w:type="dxa"/>
            <w:vAlign w:val="bottom"/>
            <w:tcBorders>
              <w:top w:val="single" w:sz="8" w:color="0000EE"/>
            </w:tcBorders>
          </w:tcPr>
          <w:p>
            <w:pPr>
              <w:spacing w:after="0"/>
              <w:rPr>
                <w:sz w:val="17"/>
                <w:szCs w:val="17"/>
                <w:color w:val="auto"/>
              </w:rPr>
            </w:pPr>
          </w:p>
        </w:tc>
        <w:tc>
          <w:tcPr>
            <w:tcW w:w="8060" w:type="dxa"/>
            <w:vAlign w:val="bottom"/>
            <w:tcBorders>
              <w:top w:val="single" w:sz="8" w:color="0000EE"/>
            </w:tcBorders>
          </w:tcPr>
          <w:p>
            <w:pPr>
              <w:spacing w:after="0"/>
              <w:rPr>
                <w:sz w:val="17"/>
                <w:szCs w:val="17"/>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320" w:type="dxa"/>
            <w:vAlign w:val="bottom"/>
          </w:tcPr>
          <w:p>
            <w:pPr>
              <w:spacing w:after="0"/>
              <w:rPr>
                <w:sz w:val="17"/>
                <w:szCs w:val="17"/>
                <w:color w:val="auto"/>
              </w:rPr>
            </w:pPr>
          </w:p>
        </w:tc>
        <w:tc>
          <w:tcPr>
            <w:tcW w:w="10380" w:type="dxa"/>
            <w:vAlign w:val="bottom"/>
            <w:gridSpan w:val="3"/>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 of</w:t>
            </w:r>
          </w:p>
        </w:tc>
      </w:tr>
      <w:tr>
        <w:trPr>
          <w:trHeight w:val="196"/>
        </w:trPr>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960" w:type="dxa"/>
            <w:vAlign w:val="bottom"/>
            <w:tcBorders>
              <w:top w:val="single" w:sz="8" w:color="0000EE"/>
            </w:tcBorders>
          </w:tcPr>
          <w:p>
            <w:pPr>
              <w:spacing w:after="0"/>
              <w:rPr>
                <w:sz w:val="17"/>
                <w:szCs w:val="17"/>
                <w:color w:val="auto"/>
              </w:rPr>
            </w:pPr>
          </w:p>
        </w:tc>
        <w:tc>
          <w:tcPr>
            <w:tcW w:w="8060" w:type="dxa"/>
            <w:vAlign w:val="bottom"/>
            <w:tcBorders>
              <w:top w:val="single" w:sz="8" w:color="0000EE"/>
            </w:tcBorders>
          </w:tcPr>
          <w:p>
            <w:pPr>
              <w:spacing w:after="0"/>
              <w:rPr>
                <w:sz w:val="17"/>
                <w:szCs w:val="17"/>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320" w:type="dxa"/>
            <w:vAlign w:val="bottom"/>
          </w:tcPr>
          <w:p>
            <w:pPr>
              <w:spacing w:after="0"/>
              <w:rPr>
                <w:sz w:val="17"/>
                <w:szCs w:val="17"/>
                <w:color w:val="auto"/>
              </w:rPr>
            </w:pPr>
          </w:p>
        </w:tc>
        <w:tc>
          <w:tcPr>
            <w:tcW w:w="10380" w:type="dxa"/>
            <w:vAlign w:val="bottom"/>
            <w:gridSpan w:val="3"/>
          </w:tcPr>
          <w:p>
            <w:pPr>
              <w:spacing w:after="0" w:line="196" w:lineRule="exact"/>
              <w:rPr>
                <w:sz w:val="20"/>
                <w:szCs w:val="20"/>
                <w:color w:val="auto"/>
              </w:rPr>
            </w:pPr>
            <w:r>
              <w:rPr>
                <w:rFonts w:ascii="Arial" w:cs="Arial" w:eastAsia="Arial" w:hAnsi="Arial"/>
                <w:sz w:val="18"/>
                <w:szCs w:val="18"/>
                <w:color w:val="0000EE"/>
                <w:w w:val="92"/>
              </w:rPr>
              <w:t>Certification of Chief Executive Officer and Chief Financial Officer pursuant to 18 U.S.C. Section 1350, as adopted pursuant to Section 906 of</w:t>
            </w:r>
          </w:p>
        </w:tc>
      </w:tr>
      <w:tr>
        <w:trPr>
          <w:trHeight w:val="196"/>
        </w:trPr>
        <w:tc>
          <w:tcPr>
            <w:tcW w:w="3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8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the Sarbanes-Oxley Act of 2002</w:t>
            </w:r>
          </w:p>
        </w:tc>
      </w:tr>
      <w:tr>
        <w:trPr>
          <w:trHeight w:val="628"/>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top w:val="single" w:sz="8" w:color="0000EE"/>
            </w:tcBorders>
            <w:gridSpan w:val="2"/>
          </w:tcPr>
          <w:p>
            <w:pPr>
              <w:spacing w:after="0"/>
              <w:rPr>
                <w:sz w:val="24"/>
                <w:szCs w:val="24"/>
                <w:color w:val="auto"/>
              </w:rPr>
            </w:pPr>
          </w:p>
        </w:tc>
        <w:tc>
          <w:tcPr>
            <w:tcW w:w="8060" w:type="dxa"/>
            <w:vAlign w:val="bottom"/>
          </w:tcPr>
          <w:p>
            <w:pPr>
              <w:jc w:val="right"/>
              <w:ind w:right="5570"/>
              <w:spacing w:after="0"/>
              <w:rPr>
                <w:sz w:val="20"/>
                <w:szCs w:val="20"/>
                <w:color w:val="auto"/>
              </w:rPr>
            </w:pPr>
            <w:r>
              <w:rPr>
                <w:rFonts w:ascii="Arial" w:cs="Arial" w:eastAsia="Arial" w:hAnsi="Arial"/>
                <w:sz w:val="18"/>
                <w:szCs w:val="18"/>
                <w:color w:val="auto"/>
              </w:rPr>
              <w:t>8</w:t>
            </w:r>
          </w:p>
        </w:tc>
      </w:tr>
      <w:tr>
        <w:trPr>
          <w:trHeight w:val="118"/>
        </w:trPr>
        <w:tc>
          <w:tcPr>
            <w:tcW w:w="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8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May 17, 2010</w:t>
            </w:r>
          </w:p>
        </w:tc>
      </w:tr>
      <w:tr>
        <w:trPr>
          <w:trHeight w:val="392"/>
        </w:trPr>
        <w:tc>
          <w:tcPr>
            <w:tcW w:w="72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3540" w:type="dxa"/>
            <w:vAlign w:val="bottom"/>
          </w:tcPr>
          <w:p>
            <w:pPr>
              <w:spacing w:after="0"/>
              <w:rPr>
                <w:sz w:val="24"/>
                <w:szCs w:val="24"/>
                <w:color w:val="auto"/>
              </w:rPr>
            </w:pPr>
          </w:p>
        </w:tc>
      </w:tr>
      <w:tr>
        <w:trPr>
          <w:trHeight w:val="218"/>
        </w:trPr>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David Lester</w:t>
            </w:r>
          </w:p>
        </w:tc>
      </w:tr>
      <w:tr>
        <w:trPr>
          <w:trHeight w:val="234"/>
        </w:trPr>
        <w:tc>
          <w:tcPr>
            <w:tcW w:w="7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ind w:left="100"/>
              <w:spacing w:after="0"/>
              <w:rPr>
                <w:sz w:val="20"/>
                <w:szCs w:val="20"/>
                <w:color w:val="auto"/>
              </w:rPr>
            </w:pPr>
            <w:r>
              <w:rPr>
                <w:rFonts w:ascii="Arial" w:cs="Arial" w:eastAsia="Arial" w:hAnsi="Arial"/>
                <w:sz w:val="18"/>
                <w:szCs w:val="18"/>
                <w:b w:val="1"/>
                <w:bCs w:val="1"/>
                <w:color w:val="auto"/>
                <w:w w:val="91"/>
              </w:rPr>
              <w:t>Chief Executive Officer, Chief Financial Officer, and Director</w:t>
            </w:r>
          </w:p>
        </w:tc>
      </w:tr>
    </w:tbl>
    <w:p>
      <w:pPr>
        <w:sectPr>
          <w:pgSz w:w="11900" w:h="16838" w:orient="portrait"/>
          <w:cols w:equalWidth="0" w:num="1">
            <w:col w:w="11200"/>
          </w:cols>
          <w:pgMar w:left="240" w:top="121"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52" w:lineRule="exact"/>
        <w:rPr>
          <w:sz w:val="20"/>
          <w:szCs w:val="20"/>
          <w:color w:val="auto"/>
        </w:rPr>
      </w:pPr>
    </w:p>
    <w:p>
      <w:pPr>
        <w:ind w:left="500" w:hanging="23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2010 of OptimizeRx Corporation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28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6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52" w:lineRule="exact"/>
        <w:rPr>
          <w:sz w:val="20"/>
          <w:szCs w:val="20"/>
          <w:color w:val="auto"/>
        </w:rPr>
      </w:pPr>
    </w:p>
    <w:p>
      <w:pPr>
        <w:ind w:left="500" w:hanging="23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2010 of OptimizeRx Corporation (the “registrant”);</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1300" w:hanging="210"/>
        <w:spacing w:after="0" w:line="264"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20"/>
        <w:spacing w:after="0" w:line="264"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10"/>
        <w:spacing w:after="0" w:line="342" w:lineRule="auto"/>
        <w:tabs>
          <w:tab w:leader="none" w:pos="1300" w:val="left"/>
        </w:tabs>
        <w:numPr>
          <w:ilvl w:val="2"/>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20"/>
        <w:spacing w:after="0" w:line="264"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10"/>
        <w:spacing w:after="0" w:line="274" w:lineRule="auto"/>
        <w:tabs>
          <w:tab w:leader="none" w:pos="1300" w:val="left"/>
        </w:tabs>
        <w:numPr>
          <w:ilvl w:val="2"/>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220"/>
        <w:spacing w:after="0" w:line="261"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17,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of OptimizeRx Corporation (the “Company”) on Form 10-Q for the quarter ended March 31, 2010 filed with the Securities and Exchange Commission (the “Report”), I, David Lester,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500" w:hanging="23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1720" w:type="dxa"/>
            <w:vAlign w:val="bottom"/>
          </w:tcPr>
          <w:p>
            <w:pPr>
              <w:spacing w:after="0"/>
              <w:rPr>
                <w:sz w:val="17"/>
                <w:szCs w:val="17"/>
                <w:color w:val="auto"/>
              </w:rPr>
            </w:pPr>
          </w:p>
        </w:tc>
      </w:tr>
      <w:tr>
        <w:trPr>
          <w:trHeight w:val="453"/>
        </w:trPr>
        <w:tc>
          <w:tcPr>
            <w:tcW w:w="1880" w:type="dxa"/>
            <w:vAlign w:val="bottom"/>
          </w:tcPr>
          <w:p>
            <w:pPr>
              <w:spacing w:after="0"/>
              <w:rPr>
                <w:sz w:val="20"/>
                <w:szCs w:val="20"/>
                <w:color w:val="auto"/>
              </w:rPr>
            </w:pPr>
            <w:r>
              <w:rPr>
                <w:rFonts w:ascii="Arial" w:cs="Arial" w:eastAsia="Arial" w:hAnsi="Arial"/>
                <w:sz w:val="18"/>
                <w:szCs w:val="18"/>
                <w:color w:val="auto"/>
              </w:rPr>
              <w:t>Name:</w:t>
            </w:r>
          </w:p>
        </w:tc>
        <w:tc>
          <w:tcPr>
            <w:tcW w:w="2880" w:type="dxa"/>
            <w:vAlign w:val="bottom"/>
            <w:gridSpan w:val="2"/>
          </w:tcPr>
          <w:p>
            <w:pPr>
              <w:spacing w:after="0"/>
              <w:rPr>
                <w:sz w:val="20"/>
                <w:szCs w:val="20"/>
                <w:color w:val="auto"/>
              </w:rPr>
            </w:pPr>
            <w:r>
              <w:rPr>
                <w:rFonts w:ascii="Arial" w:cs="Arial" w:eastAsia="Arial" w:hAnsi="Arial"/>
                <w:sz w:val="18"/>
                <w:szCs w:val="18"/>
                <w:color w:val="auto"/>
              </w:rPr>
              <w:t>David Lester</w:t>
            </w:r>
          </w:p>
        </w:tc>
      </w:tr>
      <w:tr>
        <w:trPr>
          <w:trHeight w:val="418"/>
        </w:trPr>
        <w:tc>
          <w:tcPr>
            <w:tcW w:w="1880" w:type="dxa"/>
            <w:vAlign w:val="bottom"/>
          </w:tcPr>
          <w:p>
            <w:pPr>
              <w:spacing w:after="0"/>
              <w:rPr>
                <w:sz w:val="20"/>
                <w:szCs w:val="20"/>
                <w:color w:val="auto"/>
              </w:rPr>
            </w:pPr>
            <w:r>
              <w:rPr>
                <w:rFonts w:ascii="Arial" w:cs="Arial" w:eastAsia="Arial" w:hAnsi="Arial"/>
                <w:sz w:val="18"/>
                <w:szCs w:val="18"/>
                <w:color w:val="auto"/>
              </w:rPr>
              <w:t>Title:</w:t>
            </w:r>
          </w:p>
        </w:tc>
        <w:tc>
          <w:tcPr>
            <w:tcW w:w="2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188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 and Director</w:t>
            </w:r>
          </w:p>
        </w:tc>
      </w:tr>
      <w:tr>
        <w:trPr>
          <w:trHeight w:val="432"/>
        </w:trPr>
        <w:tc>
          <w:tcPr>
            <w:tcW w:w="188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gridSpan w:val="2"/>
          </w:tcPr>
          <w:p>
            <w:pPr>
              <w:spacing w:after="0"/>
              <w:rPr>
                <w:sz w:val="20"/>
                <w:szCs w:val="20"/>
                <w:color w:val="auto"/>
              </w:rPr>
            </w:pPr>
            <w:r>
              <w:rPr>
                <w:rFonts w:ascii="Arial" w:cs="Arial" w:eastAsia="Arial" w:hAnsi="Arial"/>
                <w:sz w:val="18"/>
                <w:szCs w:val="18"/>
                <w:color w:val="auto"/>
              </w:rPr>
              <w:t>May 17, 2010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0"/>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
    <w:nsid w:val="3D1B58B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2019-12-11T07:14:48Z</dcterms:created>
  <dcterms:modified xsi:type="dcterms:W3CDTF">2019-12-11T07:14:48Z</dcterms:modified>
</cp:coreProperties>
</file>