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(Amendment No. ___)*</w:t>
      </w:r>
    </w:p>
    <w:p>
      <w:pPr>
        <w:spacing w:after="0" w:line="18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u w:val="single" w:color="auto"/>
          <w:color w:val="auto"/>
        </w:rPr>
        <w:t>OptimizeRx Corporation</w:t>
      </w:r>
    </w:p>
    <w:p>
      <w:pPr>
        <w:spacing w:after="0" w:line="40"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17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u w:val="single" w:color="auto"/>
          <w:color w:val="auto"/>
        </w:rPr>
        <w:t>Common Stock, par value $0.001 per share</w:t>
      </w:r>
    </w:p>
    <w:p>
      <w:pPr>
        <w:spacing w:after="0" w:line="18"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78"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22"/>
          <w:szCs w:val="22"/>
          <w:b w:val="1"/>
          <w:bCs w:val="1"/>
          <w:u w:val="single" w:color="auto"/>
          <w:color w:val="auto"/>
        </w:rPr>
        <w:t>68401U105</w:t>
      </w:r>
    </w:p>
    <w:p>
      <w:pPr>
        <w:spacing w:after="0" w:line="1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color w:val="auto"/>
        </w:rPr>
        <w:t>(CUSIP Number)</w:t>
      </w:r>
    </w:p>
    <w:p>
      <w:pPr>
        <w:spacing w:after="0" w:line="17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b w:val="1"/>
          <w:bCs w:val="1"/>
          <w:u w:val="single" w:color="auto"/>
          <w:color w:val="auto"/>
        </w:rPr>
        <w:t>December 31, 2015</w:t>
      </w:r>
    </w:p>
    <w:p>
      <w:pPr>
        <w:spacing w:after="0" w:line="1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580" w:right="9260" w:hanging="1"/>
        <w:spacing w:after="0" w:line="456" w:lineRule="auto"/>
        <w:tabs>
          <w:tab w:leader="none" w:pos="934"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[_] Rule 13d-1(c)</w:t>
      </w:r>
    </w:p>
    <w:p>
      <w:pPr>
        <w:ind w:left="5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[_] Rule 13d-1(d)</w:t>
      </w:r>
    </w:p>
    <w:p>
      <w:pPr>
        <w:spacing w:after="0" w:line="20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4"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675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57" w:right="239" w:bottom="1440" w:gutter="0" w:footer="0" w:header="0"/>
        </w:sectPr>
      </w:pPr>
    </w:p>
    <w:bookmarkStart w:id="1" w:name="page2"/>
    <w:bookmarkEnd w:id="1"/>
    <w:p>
      <w:pPr>
        <w:ind w:left="4880"/>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21697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56578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68401U105</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hanging="498"/>
        <w:spacing w:after="0"/>
        <w:tabs>
          <w:tab w:leader="none" w:pos="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2466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5454015"/>
                    </a:xfrm>
                    <a:prstGeom prst="rect">
                      <a:avLst/>
                    </a:prstGeom>
                    <a:noFill/>
                  </pic:spPr>
                </pic:pic>
              </a:graphicData>
            </a:graphic>
          </wp:anchor>
        </w:drawing>
      </w:r>
    </w:p>
    <w:p>
      <w:pPr>
        <w:spacing w:after="0" w:line="2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Harvey L. Poppel</w:t>
      </w:r>
    </w:p>
    <w:p>
      <w:pPr>
        <w:spacing w:after="0" w:line="27" w:lineRule="exact"/>
        <w:rPr>
          <w:sz w:val="20"/>
          <w:szCs w:val="20"/>
          <w:color w:val="auto"/>
        </w:rPr>
      </w:pPr>
    </w:p>
    <w:p>
      <w:pPr>
        <w:ind w:left="500" w:hanging="498"/>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220" w:lineRule="exact"/>
        <w:rPr>
          <w:rFonts w:ascii="Times New Roman" w:cs="Times New Roman" w:eastAsia="Times New Roman" w:hAnsi="Times New Roman"/>
          <w:sz w:val="18"/>
          <w:szCs w:val="18"/>
          <w:b w:val="1"/>
          <w:bCs w:val="1"/>
          <w:color w:val="auto"/>
        </w:rPr>
      </w:pPr>
    </w:p>
    <w:p>
      <w:pPr>
        <w:ind w:left="1280" w:hanging="378"/>
        <w:spacing w:after="0"/>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 (1)</w:t>
      </w:r>
    </w:p>
    <w:p>
      <w:pPr>
        <w:spacing w:after="0" w:line="27" w:lineRule="exact"/>
        <w:rPr>
          <w:rFonts w:ascii="Times New Roman" w:cs="Times New Roman" w:eastAsia="Times New Roman" w:hAnsi="Times New Roman"/>
          <w:sz w:val="18"/>
          <w:szCs w:val="18"/>
          <w:color w:val="auto"/>
        </w:rPr>
      </w:pPr>
    </w:p>
    <w:p>
      <w:pPr>
        <w:ind w:left="1240" w:hanging="338"/>
        <w:spacing w:after="0"/>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40" w:hanging="538"/>
        <w:spacing w:after="0"/>
        <w:tabs>
          <w:tab w:leader="none" w:pos="5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0" w:lineRule="exact"/>
        <w:rPr>
          <w:sz w:val="20"/>
          <w:szCs w:val="20"/>
          <w:color w:val="auto"/>
        </w:rPr>
      </w:pPr>
    </w:p>
    <w:p>
      <w:pPr>
        <w:spacing w:after="0" w:line="246" w:lineRule="exact"/>
        <w:rPr>
          <w:sz w:val="20"/>
          <w:szCs w:val="20"/>
          <w:color w:val="auto"/>
        </w:rPr>
      </w:pPr>
    </w:p>
    <w:p>
      <w:pPr>
        <w:ind w:left="500" w:hanging="498"/>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or Place of Organization</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Florida, U.S.</w:t>
      </w:r>
    </w:p>
    <w:p>
      <w:pPr>
        <w:spacing w:after="0" w:line="27" w:lineRule="exact"/>
        <w:rPr>
          <w:sz w:val="20"/>
          <w:szCs w:val="20"/>
          <w:color w:val="auto"/>
        </w:rPr>
      </w:pPr>
    </w:p>
    <w:p>
      <w:pPr>
        <w:ind w:left="1480" w:hanging="560"/>
        <w:spacing w:after="0"/>
        <w:tabs>
          <w:tab w:leader="none" w:pos="14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 Voting Power</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2,129,028 (2)</w:t>
      </w:r>
    </w:p>
    <w:p>
      <w:pPr>
        <w:spacing w:after="0" w:line="31" w:lineRule="exact"/>
        <w:rPr>
          <w:sz w:val="20"/>
          <w:szCs w:val="20"/>
          <w:color w:val="auto"/>
        </w:rPr>
      </w:pPr>
    </w:p>
    <w:p>
      <w:pPr>
        <w:ind w:left="4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Number of 6</w:t>
      </w:r>
      <w:r>
        <w:rPr>
          <w:sz w:val="20"/>
          <w:szCs w:val="20"/>
          <w:color w:val="auto"/>
        </w:rPr>
        <w:tab/>
      </w:r>
      <w:r>
        <w:rPr>
          <w:rFonts w:ascii="Times New Roman" w:cs="Times New Roman" w:eastAsia="Times New Roman" w:hAnsi="Times New Roman"/>
          <w:sz w:val="17"/>
          <w:szCs w:val="17"/>
          <w:b w:val="1"/>
          <w:bCs w:val="1"/>
          <w:color w:val="auto"/>
        </w:rPr>
        <w:t>Shared Voting Power</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9"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Beneficially</w:t>
      </w:r>
      <w:r>
        <w:rPr>
          <w:sz w:val="20"/>
          <w:szCs w:val="20"/>
          <w:color w:val="auto"/>
        </w:rPr>
        <w:tab/>
      </w:r>
      <w:r>
        <w:rPr>
          <w:rFonts w:ascii="Times New Roman" w:cs="Times New Roman" w:eastAsia="Times New Roman" w:hAnsi="Times New Roman"/>
          <w:sz w:val="18"/>
          <w:szCs w:val="18"/>
          <w:b w:val="1"/>
          <w:bCs w:val="1"/>
          <w:color w:val="auto"/>
        </w:rPr>
        <w:t>2,129,028 (2)</w:t>
      </w:r>
    </w:p>
    <w:p>
      <w:pPr>
        <w:spacing w:after="0" w:line="9" w:lineRule="exact"/>
        <w:rPr>
          <w:sz w:val="20"/>
          <w:szCs w:val="20"/>
          <w:color w:val="auto"/>
        </w:rPr>
      </w:pPr>
    </w:p>
    <w:p>
      <w:pPr>
        <w:ind w:left="6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Owned by 7</w:t>
      </w:r>
      <w:r>
        <w:rPr>
          <w:sz w:val="20"/>
          <w:szCs w:val="20"/>
          <w:color w:val="auto"/>
        </w:rPr>
        <w:tab/>
      </w:r>
      <w:r>
        <w:rPr>
          <w:rFonts w:ascii="Times New Roman" w:cs="Times New Roman" w:eastAsia="Times New Roman" w:hAnsi="Times New Roman"/>
          <w:sz w:val="17"/>
          <w:szCs w:val="17"/>
          <w:b w:val="1"/>
          <w:bCs w:val="1"/>
          <w:color w:val="auto"/>
        </w:rPr>
        <w:t>Sole Dispositive Power</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Each</w:t>
      </w:r>
    </w:p>
    <w:p>
      <w:pPr>
        <w:spacing w:after="0" w:line="7" w:lineRule="exact"/>
        <w:rPr>
          <w:sz w:val="20"/>
          <w:szCs w:val="20"/>
          <w:color w:val="auto"/>
        </w:rPr>
      </w:pPr>
    </w:p>
    <w:p>
      <w:pPr>
        <w:jc w:val="center"/>
        <w:ind w:right="9299"/>
        <w:spacing w:after="0"/>
        <w:rPr>
          <w:sz w:val="20"/>
          <w:szCs w:val="20"/>
          <w:color w:val="auto"/>
        </w:rPr>
      </w:pPr>
      <w:r>
        <w:rPr>
          <w:rFonts w:ascii="Times New Roman" w:cs="Times New Roman" w:eastAsia="Times New Roman" w:hAnsi="Times New Roman"/>
          <w:sz w:val="18"/>
          <w:szCs w:val="18"/>
          <w:b w:val="1"/>
          <w:bCs w:val="1"/>
          <w:color w:val="auto"/>
        </w:rPr>
        <w:t>Reporting</w:t>
      </w:r>
    </w:p>
    <w:p>
      <w:pPr>
        <w:spacing w:after="0" w:line="9" w:lineRule="exact"/>
        <w:rPr>
          <w:sz w:val="20"/>
          <w:szCs w:val="20"/>
          <w:color w:val="auto"/>
        </w:rPr>
      </w:pPr>
    </w:p>
    <w:p>
      <w:pPr>
        <w:jc w:val="center"/>
        <w:ind w:right="9299"/>
        <w:spacing w:after="0"/>
        <w:rPr>
          <w:sz w:val="20"/>
          <w:szCs w:val="20"/>
          <w:color w:val="auto"/>
        </w:rPr>
      </w:pPr>
      <w:r>
        <w:rPr>
          <w:rFonts w:ascii="Times New Roman" w:cs="Times New Roman" w:eastAsia="Times New Roman" w:hAnsi="Times New Roman"/>
          <w:sz w:val="18"/>
          <w:szCs w:val="18"/>
          <w:b w:val="1"/>
          <w:bCs w:val="1"/>
          <w:color w:val="auto"/>
        </w:rPr>
        <w:t>Person</w:t>
      </w:r>
    </w:p>
    <w:p>
      <w:pPr>
        <w:spacing w:after="0" w:line="9" w:lineRule="exact"/>
        <w:rPr>
          <w:sz w:val="20"/>
          <w:szCs w:val="20"/>
          <w:color w:val="auto"/>
        </w:rPr>
      </w:pPr>
    </w:p>
    <w:p>
      <w:pPr>
        <w:jc w:val="center"/>
        <w:ind w:right="9299"/>
        <w:spacing w:after="0"/>
        <w:rPr>
          <w:sz w:val="20"/>
          <w:szCs w:val="20"/>
          <w:color w:val="auto"/>
        </w:rPr>
      </w:pPr>
      <w:r>
        <w:rPr>
          <w:rFonts w:ascii="Times New Roman" w:cs="Times New Roman" w:eastAsia="Times New Roman" w:hAnsi="Times New Roman"/>
          <w:sz w:val="18"/>
          <w:szCs w:val="18"/>
          <w:b w:val="1"/>
          <w:bCs w:val="1"/>
          <w:color w:val="auto"/>
        </w:rPr>
        <w:t>With:</w:t>
      </w:r>
    </w:p>
    <w:p>
      <w:pPr>
        <w:spacing w:after="0" w:line="9" w:lineRule="exact"/>
        <w:rPr>
          <w:sz w:val="20"/>
          <w:szCs w:val="20"/>
          <w:color w:val="auto"/>
        </w:rPr>
      </w:pPr>
    </w:p>
    <w:p>
      <w:pPr>
        <w:ind w:left="1480" w:hanging="560"/>
        <w:spacing w:after="0"/>
        <w:tabs>
          <w:tab w:leader="none" w:pos="14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Dispositive Power</w:t>
      </w:r>
    </w:p>
    <w:p>
      <w:pPr>
        <w:spacing w:after="0" w:line="2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2,129,028 (2)</w:t>
      </w:r>
    </w:p>
    <w:p>
      <w:pPr>
        <w:spacing w:after="0" w:line="31" w:lineRule="exact"/>
        <w:rPr>
          <w:sz w:val="20"/>
          <w:szCs w:val="20"/>
          <w:color w:val="auto"/>
        </w:rPr>
      </w:pPr>
    </w:p>
    <w:p>
      <w:pPr>
        <w:ind w:left="500" w:hanging="498"/>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Aggregate Amount Beneficially Owned by Each Reporting Person</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2,129,028 (2)</w:t>
      </w:r>
    </w:p>
    <w:p>
      <w:pPr>
        <w:spacing w:after="0" w:line="31" w:lineRule="exact"/>
        <w:rPr>
          <w:sz w:val="20"/>
          <w:szCs w:val="20"/>
          <w:color w:val="auto"/>
        </w:rPr>
      </w:pPr>
    </w:p>
    <w:p>
      <w:pPr>
        <w:ind w:left="500" w:right="3019" w:hanging="498"/>
        <w:spacing w:after="0" w:line="383" w:lineRule="auto"/>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Check box if the aggregate amount in row (9) excludes certain shares (See Instructions) </w:t>
      </w:r>
      <w:r>
        <w:rPr>
          <w:rFonts w:ascii="Times New Roman" w:cs="Times New Roman" w:eastAsia="Times New Roman" w:hAnsi="Times New Roman"/>
          <w:sz w:val="18"/>
          <w:szCs w:val="18"/>
          <w:color w:val="auto"/>
        </w:rPr>
        <w:t>[ ]</w:t>
      </w:r>
    </w:p>
    <w:p>
      <w:pPr>
        <w:spacing w:after="0" w:line="1" w:lineRule="exact"/>
        <w:rPr>
          <w:rFonts w:ascii="Times New Roman" w:cs="Times New Roman" w:eastAsia="Times New Roman" w:hAnsi="Times New Roman"/>
          <w:sz w:val="18"/>
          <w:szCs w:val="18"/>
          <w:b w:val="1"/>
          <w:bCs w:val="1"/>
          <w:color w:val="auto"/>
        </w:rPr>
      </w:pPr>
    </w:p>
    <w:p>
      <w:pPr>
        <w:ind w:left="500" w:right="5899" w:hanging="498"/>
        <w:spacing w:after="0" w:line="383" w:lineRule="auto"/>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represented by amount in row (9) </w:t>
      </w:r>
      <w:r>
        <w:rPr>
          <w:rFonts w:ascii="Times New Roman" w:cs="Times New Roman" w:eastAsia="Times New Roman" w:hAnsi="Times New Roman"/>
          <w:sz w:val="18"/>
          <w:szCs w:val="18"/>
          <w:color w:val="auto"/>
        </w:rPr>
        <w:t>7.34%</w:t>
      </w:r>
    </w:p>
    <w:p>
      <w:pPr>
        <w:spacing w:after="0" w:line="1" w:lineRule="exact"/>
        <w:rPr>
          <w:rFonts w:ascii="Times New Roman" w:cs="Times New Roman" w:eastAsia="Times New Roman" w:hAnsi="Times New Roman"/>
          <w:sz w:val="18"/>
          <w:szCs w:val="18"/>
          <w:b w:val="1"/>
          <w:bCs w:val="1"/>
          <w:color w:val="auto"/>
        </w:rPr>
      </w:pPr>
    </w:p>
    <w:p>
      <w:pPr>
        <w:ind w:left="500" w:hanging="498"/>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220"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675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199"/>
          </w:cols>
          <w:pgMar w:left="260" w:top="108" w:right="1440" w:bottom="1440" w:gutter="0" w:footer="0" w:header="0"/>
        </w:sectPr>
      </w:pPr>
    </w:p>
    <w:bookmarkStart w:id="2" w:name="page3"/>
    <w:bookmarkEnd w:id="2"/>
    <w:p>
      <w:pPr>
        <w:jc w:val="both"/>
        <w:ind w:firstLine="8"/>
        <w:spacing w:after="0"/>
        <w:tabs>
          <w:tab w:leader="none" w:pos="657"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13G is filed by Harvey L. Poppel on behalf of Harvey L. Poppel, Harvey L. Poppel Descendant’s Trust, Harvey L. Poppel IRA, Emily A. Poppel Descendant’s Trust, Lee Poppel IRA, Dr. Clinton S. Poppel, Dr. Clinton S. Poppel 401K Lucas F. Poppel, Alexander J. Poppel, Winston O. Poppel, and Poptech, LP, a Family Limited Partnership controlled by Harvey L. &amp; Emily A. Poppel.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Harvey L. Poppel expressly disclaims status as a group for purposes of this Schedule 13G.</w:t>
      </w:r>
    </w:p>
    <w:p>
      <w:pPr>
        <w:spacing w:after="0" w:line="206" w:lineRule="exact"/>
        <w:rPr>
          <w:sz w:val="20"/>
          <w:szCs w:val="20"/>
          <w:color w:val="auto"/>
        </w:rPr>
      </w:pPr>
    </w:p>
    <w:p>
      <w:pPr>
        <w:jc w:val="both"/>
        <w:ind w:firstLine="8"/>
        <w:spacing w:after="0" w:line="238" w:lineRule="auto"/>
        <w:tabs>
          <w:tab w:leader="none" w:pos="55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total which includes 2,076,778 common shares and 52,250 Warrants convertible to common shares are held directly by Harvey L Poppel, Harvey L. Poppel Descendant’s Trust, Harvey L. Poppel IRA, Emily A. Poppel Descendant’s Trust, Lee Poppel IRA, Dr. Clinton S. Poppel, Dr. Clinton S. Poppel 401K Lucas F. Poppel, Alexander J. Poppel, Winston O. Poppel, and Poptech, LP a Family Limited Partnership controlled by Harvey L. &amp; Emily A. Poppel who are the sole members of Poptech, LLC. Poptech, LLC is the sole General Partner of Poptech, LP.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Poptech, LLC does not directly own any securities of the Issuer.</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Poptech, LLC may be deemed to have shared power to vote or direct the vote of, and to dispose or direct the disposition of, the securities of the Issuer held by Poptech, LP but disclaim beneficial ownership except to their pecuniary interest therein</w:t>
      </w:r>
    </w:p>
    <w:p>
      <w:pPr>
        <w:spacing w:after="0" w:line="158" w:lineRule="exact"/>
        <w:rPr>
          <w:sz w:val="20"/>
          <w:szCs w:val="20"/>
          <w:color w:val="auto"/>
        </w:rPr>
      </w:pPr>
    </w:p>
    <w:p>
      <w:pPr>
        <w:jc w:val="both"/>
        <w:ind w:firstLine="8"/>
        <w:spacing w:after="0" w:line="244" w:lineRule="auto"/>
        <w:tabs>
          <w:tab w:leader="none" w:pos="54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percentage is calculated based upon 29,018,425 voting shares of the Issuers common stock outstanding as of November 11, 2015, as reported in the Issuers Form 10Q for the period Dated September 30, 2015 as filed with the Securities and Exchange Commission.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2"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Issuer: </w:t>
      </w:r>
      <w:r>
        <w:rPr>
          <w:rFonts w:ascii="Times New Roman" w:cs="Times New Roman" w:eastAsia="Times New Roman" w:hAnsi="Times New Roman"/>
          <w:sz w:val="18"/>
          <w:szCs w:val="18"/>
          <w:color w:val="auto"/>
        </w:rPr>
        <w:t>OptimizeRx Corporation</w:t>
      </w:r>
    </w:p>
    <w:p>
      <w:pPr>
        <w:spacing w:after="0" w:line="31"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Address of Issuer’s Principal Executive Offices: </w:t>
      </w:r>
      <w:r>
        <w:rPr>
          <w:rFonts w:ascii="Times New Roman" w:cs="Times New Roman" w:eastAsia="Times New Roman" w:hAnsi="Times New Roman"/>
          <w:sz w:val="18"/>
          <w:szCs w:val="18"/>
          <w:color w:val="auto"/>
        </w:rPr>
        <w:t>400 Water St. Ste. 200, Rochester, Michigan 48307</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 Filing: Harvey L. Poppel</w:t>
      </w:r>
    </w:p>
    <w:p>
      <w:pPr>
        <w:spacing w:after="0" w:line="225"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 110 El Mirasol, Palm Beach FL 33480</w:t>
      </w:r>
    </w:p>
    <w:p>
      <w:pPr>
        <w:spacing w:after="0" w:line="225"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 U.S.</w:t>
      </w:r>
    </w:p>
    <w:p>
      <w:pPr>
        <w:spacing w:after="0" w:line="225"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 and Class of Securities: </w:t>
      </w:r>
      <w:r>
        <w:rPr>
          <w:rFonts w:ascii="Times New Roman" w:cs="Times New Roman" w:eastAsia="Times New Roman" w:hAnsi="Times New Roman"/>
          <w:sz w:val="18"/>
          <w:szCs w:val="18"/>
          <w:color w:val="auto"/>
        </w:rPr>
        <w:t>Common stock, par value $0.001 per share</w:t>
      </w:r>
    </w:p>
    <w:p>
      <w:pPr>
        <w:spacing w:after="0" w:line="225"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68401U105</w:t>
      </w:r>
    </w:p>
    <w:p>
      <w:pPr>
        <w:spacing w:after="0" w:line="25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 240.13d-1(b) or 240.13d-2(b) or (c), check whether the person filing is a: Not applicable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ind w:left="1160" w:hanging="58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Broker or dealer registered under Section 15 of the Act;</w:t>
      </w:r>
    </w:p>
    <w:p>
      <w:pPr>
        <w:spacing w:after="0" w:line="225" w:lineRule="exact"/>
        <w:rPr>
          <w:rFonts w:ascii="Times New Roman" w:cs="Times New Roman" w:eastAsia="Times New Roman" w:hAnsi="Times New Roman"/>
          <w:sz w:val="18"/>
          <w:szCs w:val="18"/>
          <w:color w:val="auto"/>
        </w:rPr>
      </w:pPr>
    </w:p>
    <w:p>
      <w:pPr>
        <w:ind w:left="1160" w:hanging="58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Bank as defined in Section 3(a)(6) of the Act;</w:t>
      </w:r>
    </w:p>
    <w:p>
      <w:pPr>
        <w:spacing w:after="0" w:line="225" w:lineRule="exact"/>
        <w:rPr>
          <w:rFonts w:ascii="Times New Roman" w:cs="Times New Roman" w:eastAsia="Times New Roman" w:hAnsi="Times New Roman"/>
          <w:sz w:val="18"/>
          <w:szCs w:val="18"/>
          <w:color w:val="auto"/>
        </w:rPr>
      </w:pPr>
    </w:p>
    <w:p>
      <w:pPr>
        <w:ind w:left="1160" w:hanging="58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Insurance company as defined in Section 3(a)(19) of the Act;</w:t>
      </w:r>
    </w:p>
    <w:p>
      <w:pPr>
        <w:spacing w:after="0" w:line="225" w:lineRule="exact"/>
        <w:rPr>
          <w:rFonts w:ascii="Times New Roman" w:cs="Times New Roman" w:eastAsia="Times New Roman" w:hAnsi="Times New Roman"/>
          <w:sz w:val="18"/>
          <w:szCs w:val="18"/>
          <w:color w:val="auto"/>
        </w:rPr>
      </w:pPr>
    </w:p>
    <w:p>
      <w:pPr>
        <w:ind w:left="1160" w:hanging="58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Investment company registered under Section 8 of the Investment Company Act of 1940;</w:t>
      </w:r>
    </w:p>
    <w:p>
      <w:pPr>
        <w:spacing w:after="0" w:line="225" w:lineRule="exact"/>
        <w:rPr>
          <w:rFonts w:ascii="Times New Roman" w:cs="Times New Roman" w:eastAsia="Times New Roman" w:hAnsi="Times New Roman"/>
          <w:sz w:val="18"/>
          <w:szCs w:val="18"/>
          <w:color w:val="auto"/>
        </w:rPr>
      </w:pPr>
    </w:p>
    <w:p>
      <w:pPr>
        <w:ind w:left="1160" w:hanging="58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An investment adviser in accordance with Rule 13d-1(b)(1)(ii)(E);</w:t>
      </w:r>
    </w:p>
    <w:p>
      <w:pPr>
        <w:spacing w:after="0" w:line="225" w:lineRule="exact"/>
        <w:rPr>
          <w:rFonts w:ascii="Times New Roman" w:cs="Times New Roman" w:eastAsia="Times New Roman" w:hAnsi="Times New Roman"/>
          <w:sz w:val="18"/>
          <w:szCs w:val="18"/>
          <w:color w:val="auto"/>
        </w:rPr>
      </w:pPr>
    </w:p>
    <w:p>
      <w:pPr>
        <w:ind w:left="1160" w:hanging="58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An employee benefit plan or endowment fund in accordance with Rule 13d-1(b)(1)(ii)(F);</w:t>
      </w:r>
    </w:p>
    <w:p>
      <w:pPr>
        <w:spacing w:after="0" w:line="225" w:lineRule="exact"/>
        <w:rPr>
          <w:rFonts w:ascii="Times New Roman" w:cs="Times New Roman" w:eastAsia="Times New Roman" w:hAnsi="Times New Roman"/>
          <w:sz w:val="18"/>
          <w:szCs w:val="18"/>
          <w:color w:val="auto"/>
        </w:rPr>
      </w:pPr>
    </w:p>
    <w:p>
      <w:pPr>
        <w:ind w:left="1160" w:hanging="58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1160" w:hanging="58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500" w:right="180" w:hanging="925"/>
        <w:spacing w:after="0" w:line="282" w:lineRule="auto"/>
        <w:tabs>
          <w:tab w:leader="none" w:pos="11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church plan that is excluded from the definition of an investment company under section 3(c)(14) of the Investment Company Act of 1940;</w:t>
      </w:r>
    </w:p>
    <w:p>
      <w:pPr>
        <w:spacing w:after="0" w:line="161" w:lineRule="exact"/>
        <w:rPr>
          <w:rFonts w:ascii="Times New Roman" w:cs="Times New Roman" w:eastAsia="Times New Roman" w:hAnsi="Times New Roman"/>
          <w:sz w:val="18"/>
          <w:szCs w:val="18"/>
          <w:color w:val="auto"/>
        </w:rPr>
      </w:pPr>
    </w:p>
    <w:p>
      <w:pPr>
        <w:ind w:left="1160" w:hanging="58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non-U.S. institution in accordance with Rule 240.13d-1(b)(1)(ii)(J);</w:t>
      </w:r>
    </w:p>
    <w:p>
      <w:pPr>
        <w:spacing w:after="0" w:line="225" w:lineRule="exact"/>
        <w:rPr>
          <w:rFonts w:ascii="Times New Roman" w:cs="Times New Roman" w:eastAsia="Times New Roman" w:hAnsi="Times New Roman"/>
          <w:sz w:val="18"/>
          <w:szCs w:val="18"/>
          <w:color w:val="auto"/>
        </w:rPr>
      </w:pPr>
    </w:p>
    <w:p>
      <w:pPr>
        <w:ind w:left="1500" w:right="80" w:hanging="925"/>
        <w:spacing w:after="0" w:line="282" w:lineRule="auto"/>
        <w:tabs>
          <w:tab w:leader="none" w:pos="11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Group, in accordance with Rule 240.13d-1(b)(1)(ii)(K). If filing as a non-U.S. institution in accordance with Rule 240.13d-1(b)(1)(ii)(J), please specify the type of institution:</w:t>
      </w:r>
    </w:p>
    <w:p>
      <w:pPr>
        <w:spacing w:after="0" w:line="18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52" w:lineRule="exact"/>
        <w:rPr>
          <w:sz w:val="20"/>
          <w:szCs w:val="20"/>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Beneficially Owned: 2,129,028 (1)</w:t>
      </w:r>
    </w:p>
    <w:p>
      <w:pPr>
        <w:spacing w:after="0" w:line="225"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7.34% (2)</w:t>
      </w:r>
    </w:p>
    <w:p>
      <w:pPr>
        <w:spacing w:after="0" w:line="225"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such person has:</w:t>
      </w:r>
    </w:p>
    <w:p>
      <w:pPr>
        <w:spacing w:after="0" w:line="252" w:lineRule="exact"/>
        <w:rPr>
          <w:rFonts w:ascii="Times New Roman" w:cs="Times New Roman" w:eastAsia="Times New Roman" w:hAnsi="Times New Roman"/>
          <w:sz w:val="18"/>
          <w:szCs w:val="18"/>
          <w:b w:val="1"/>
          <w:bCs w:val="1"/>
          <w:color w:val="auto"/>
        </w:rPr>
      </w:pPr>
    </w:p>
    <w:p>
      <w:pPr>
        <w:ind w:left="1140" w:hanging="565"/>
        <w:spacing w:after="0"/>
        <w:tabs>
          <w:tab w:leader="none" w:pos="114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 power to vote or to direct the vote: 2,129,028 (1)</w:t>
      </w:r>
    </w:p>
    <w:p>
      <w:pPr>
        <w:spacing w:after="0" w:line="225" w:lineRule="exact"/>
        <w:rPr>
          <w:rFonts w:ascii="Times New Roman" w:cs="Times New Roman" w:eastAsia="Times New Roman" w:hAnsi="Times New Roman"/>
          <w:sz w:val="18"/>
          <w:szCs w:val="18"/>
          <w:b w:val="1"/>
          <w:bCs w:val="1"/>
          <w:color w:val="auto"/>
        </w:rPr>
      </w:pPr>
    </w:p>
    <w:p>
      <w:pPr>
        <w:ind w:left="1140" w:hanging="565"/>
        <w:spacing w:after="0"/>
        <w:tabs>
          <w:tab w:leader="none" w:pos="114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vote or to direct the vote: 2,129,028 (1)</w:t>
      </w:r>
    </w:p>
    <w:p>
      <w:pPr>
        <w:spacing w:after="0" w:line="225" w:lineRule="exact"/>
        <w:rPr>
          <w:rFonts w:ascii="Times New Roman" w:cs="Times New Roman" w:eastAsia="Times New Roman" w:hAnsi="Times New Roman"/>
          <w:sz w:val="18"/>
          <w:szCs w:val="18"/>
          <w:b w:val="1"/>
          <w:bCs w:val="1"/>
          <w:color w:val="auto"/>
        </w:rPr>
      </w:pPr>
    </w:p>
    <w:p>
      <w:pPr>
        <w:ind w:left="1140" w:hanging="565"/>
        <w:spacing w:after="0"/>
        <w:tabs>
          <w:tab w:leader="none" w:pos="114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 power to dispose or to direct the disposition of:</w:t>
      </w:r>
    </w:p>
    <w:p>
      <w:pPr>
        <w:spacing w:after="0" w:line="225" w:lineRule="exact"/>
        <w:rPr>
          <w:rFonts w:ascii="Times New Roman" w:cs="Times New Roman" w:eastAsia="Times New Roman" w:hAnsi="Times New Roman"/>
          <w:sz w:val="18"/>
          <w:szCs w:val="18"/>
          <w:b w:val="1"/>
          <w:bCs w:val="1"/>
          <w:color w:val="auto"/>
        </w:rPr>
      </w:pPr>
    </w:p>
    <w:p>
      <w:pPr>
        <w:ind w:left="1140" w:hanging="565"/>
        <w:spacing w:after="0"/>
        <w:tabs>
          <w:tab w:leader="none" w:pos="114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dispose or to direct the disposition of: 2,129,028 (1)</w:t>
      </w:r>
    </w:p>
    <w:p>
      <w:pPr>
        <w:spacing w:after="0" w:line="220" w:lineRule="exact"/>
        <w:rPr>
          <w:sz w:val="20"/>
          <w:szCs w:val="20"/>
          <w:color w:val="auto"/>
        </w:rPr>
      </w:pPr>
    </w:p>
    <w:p>
      <w:pPr>
        <w:jc w:val="both"/>
        <w:ind w:firstLine="8"/>
        <w:spacing w:after="0" w:line="238" w:lineRule="auto"/>
        <w:tabs>
          <w:tab w:leader="none" w:pos="55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total which includes 2,076,778 common shares and 52,250 Warrants convertible to common shares are held directly by Harvey L Poppel, Harvey L. Poppel Descendant’s Trust, Harvey L. Poppel IRA, Emily A. Poppel Descendant’s Trust, Lee Poppel IRA, Dr. Clinton S. Poppel, Dr. Clinton S. Poppel 401K Lucas F. Poppel, Alexander J. Poppel, Winston O. Poppel, and Poptech, LP a Family Limited Partnership controlled by Harvey L. &amp; Emily A. Poppel who are the sole members of Poptech, LLC. Poptech, LLC is the sole General Partner of Poptech, LP. Poptech, LLC does not directly own any securities of the Issuer.</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Poptech, LLC may be deemed to have shared power to vote or direct the vote of, and to dispose or direct the disposition of, the securities of the Issuer held by Poptech, LP but disclaim beneficial ownership except to their pecuniary interest therein</w:t>
      </w:r>
    </w:p>
    <w:p>
      <w:pPr>
        <w:spacing w:after="0" w:line="158" w:lineRule="exact"/>
        <w:rPr>
          <w:sz w:val="20"/>
          <w:szCs w:val="20"/>
          <w:color w:val="auto"/>
        </w:rPr>
      </w:pPr>
    </w:p>
    <w:p>
      <w:pPr>
        <w:jc w:val="both"/>
        <w:ind w:firstLine="8"/>
        <w:spacing w:after="0" w:line="244" w:lineRule="auto"/>
        <w:tabs>
          <w:tab w:leader="none" w:pos="495"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percentage is calculated based upon 29,018,425 voting shares of the Issuers common stock outstanding as of November 11, 2015, as reported in the Issuers Form 10Q for the period Dated September 30, 2015 as filed with the Securities and Exchange Commission.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 Not Applicable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6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w w:val="99"/>
              </w:rPr>
              <w:t>If this statement is being filed to report the fact that as of the date hereof the reporting person has ceased to be the beneficial</w:t>
            </w:r>
          </w:p>
        </w:tc>
      </w:tr>
      <w:tr>
        <w:trPr>
          <w:trHeight w:val="283"/>
        </w:trPr>
        <w:tc>
          <w:tcPr>
            <w:tcW w:w="1146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owner of more than five percent of the class of securities, check the following [  ].</w:t>
            </w:r>
          </w:p>
        </w:tc>
      </w:tr>
      <w:tr>
        <w:trPr>
          <w:trHeight w:val="420"/>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 Not Applicable</w:t>
            </w:r>
          </w:p>
        </w:tc>
      </w:tr>
      <w:tr>
        <w:trPr>
          <w:trHeight w:val="437"/>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w:t>
            </w:r>
          </w:p>
        </w:tc>
      </w:tr>
      <w:tr>
        <w:trPr>
          <w:trHeight w:val="238"/>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control person. Not Applicable</w:t>
            </w:r>
          </w:p>
        </w:tc>
      </w:tr>
      <w:tr>
        <w:trPr>
          <w:trHeight w:val="459"/>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 Not Applicable</w:t>
            </w:r>
          </w:p>
        </w:tc>
      </w:tr>
      <w:tr>
        <w:trPr>
          <w:trHeight w:val="459"/>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Notice of Dissolution of Group. Not Applicable</w:t>
            </w:r>
          </w:p>
        </w:tc>
      </w:tr>
      <w:tr>
        <w:trPr>
          <w:trHeight w:val="459"/>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Certifications.</w:t>
            </w:r>
          </w:p>
        </w:tc>
      </w:tr>
      <w:tr>
        <w:trPr>
          <w:trHeight w:val="471"/>
        </w:trPr>
        <w:tc>
          <w:tcPr>
            <w:tcW w:w="900" w:type="dxa"/>
            <w:vAlign w:val="bottom"/>
          </w:tcPr>
          <w:p>
            <w:pPr>
              <w:spacing w:after="0"/>
              <w:rPr>
                <w:sz w:val="24"/>
                <w:szCs w:val="24"/>
                <w:color w:val="auto"/>
              </w:rPr>
            </w:pPr>
          </w:p>
        </w:tc>
        <w:tc>
          <w:tcPr>
            <w:tcW w:w="10560" w:type="dxa"/>
            <w:vAlign w:val="bottom"/>
          </w:tcPr>
          <w:p>
            <w:pPr>
              <w:ind w:left="4320"/>
              <w:spacing w:after="0"/>
              <w:rPr>
                <w:sz w:val="20"/>
                <w:szCs w:val="20"/>
                <w:color w:val="auto"/>
              </w:rPr>
            </w:pPr>
            <w:r>
              <w:rPr>
                <w:rFonts w:ascii="Times New Roman" w:cs="Times New Roman" w:eastAsia="Times New Roman" w:hAnsi="Times New Roman"/>
                <w:sz w:val="22"/>
                <w:szCs w:val="22"/>
                <w:color w:val="auto"/>
              </w:rPr>
              <w:t>Page 5 of 6</w:t>
            </w:r>
          </w:p>
        </w:tc>
      </w:tr>
      <w:tr>
        <w:trPr>
          <w:trHeight w:val="201"/>
        </w:trPr>
        <w:tc>
          <w:tcPr>
            <w:tcW w:w="900" w:type="dxa"/>
            <w:vAlign w:val="bottom"/>
          </w:tcPr>
          <w:p>
            <w:pPr>
              <w:spacing w:after="0"/>
              <w:rPr>
                <w:sz w:val="17"/>
                <w:szCs w:val="17"/>
                <w:color w:val="auto"/>
              </w:rPr>
            </w:pPr>
          </w:p>
        </w:tc>
        <w:tc>
          <w:tcPr>
            <w:tcW w:w="10560" w:type="dxa"/>
            <w:vAlign w:val="bottom"/>
          </w:tcPr>
          <w:p>
            <w:pPr>
              <w:spacing w:after="0"/>
              <w:rPr>
                <w:sz w:val="17"/>
                <w:szCs w:val="17"/>
                <w:color w:val="auto"/>
              </w:rPr>
            </w:pPr>
          </w:p>
        </w:tc>
      </w:tr>
      <w:tr>
        <w:trPr>
          <w:trHeight w:val="74"/>
        </w:trPr>
        <w:tc>
          <w:tcPr>
            <w:tcW w:w="900" w:type="dxa"/>
            <w:vAlign w:val="bottom"/>
            <w:shd w:val="clear" w:color="auto" w:fill="000000"/>
          </w:tcPr>
          <w:p>
            <w:pPr>
              <w:spacing w:after="0"/>
              <w:rPr>
                <w:sz w:val="6"/>
                <w:szCs w:val="6"/>
                <w:color w:val="auto"/>
              </w:rPr>
            </w:pPr>
          </w:p>
        </w:tc>
        <w:tc>
          <w:tcPr>
            <w:tcW w:w="10560" w:type="dxa"/>
            <w:vAlign w:val="bottom"/>
            <w:shd w:val="clear" w:color="auto" w:fill="000000"/>
          </w:tcPr>
          <w:p>
            <w:pPr>
              <w:spacing w:after="0"/>
              <w:rPr>
                <w:sz w:val="6"/>
                <w:szCs w:val="6"/>
                <w:color w:val="auto"/>
              </w:rPr>
            </w:pPr>
          </w:p>
        </w:tc>
      </w:tr>
    </w:tbl>
    <w:p>
      <w:pPr>
        <w:sectPr>
          <w:pgSz w:w="11900" w:h="16838" w:orient="portrait"/>
          <w:cols w:equalWidth="0" w:num="1">
            <w:col w:w="11460"/>
          </w:cols>
          <w:pgMar w:left="240" w:top="360" w:right="1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January 13, 2016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u w:val="single" w:color="auto"/>
          <w:color w:val="auto"/>
        </w:rPr>
        <w:t>/s/ Harvey L. Poppel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Harvey L. Poppel</w:t>
      </w:r>
    </w:p>
    <w:p>
      <w:pPr>
        <w:spacing w:after="0" w:line="18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Attention: Intentional misstatements or omissions of fact constitute Federal criminal violations (See 18 U.S.C. 1001).</w:t>
      </w:r>
    </w:p>
    <w:p>
      <w:pPr>
        <w:spacing w:after="0" w:line="2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2"/>
      <w:numFmt w:val="bullet"/>
      <w:start w:val="1"/>
    </w:lvl>
    <w:lvl w:ilvl="1">
      <w:lvlJc w:val="left"/>
      <w:lvlText w:val="(%2)"/>
      <w:numFmt w:val="lowerLetter"/>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4"/>
      <w:numFmt w:val="bullet"/>
      <w:start w:val="1"/>
    </w:lvl>
  </w:abstractNum>
  <w:abstractNum w:abstractNumId="5">
    <w:nsid w:val="66EF438D"/>
    <w:multiLevelType w:val="hybridMultilevel"/>
    <w:lvl w:ilvl="0">
      <w:lvlJc w:val="left"/>
      <w:lvlText w:val="5"/>
      <w:numFmt w:val="bullet"/>
      <w:start w:val="1"/>
    </w:lvl>
  </w:abstractNum>
  <w:abstractNum w:abstractNumId="6">
    <w:nsid w:val="140E0F76"/>
    <w:multiLevelType w:val="hybridMultilevel"/>
    <w:lvl w:ilvl="0">
      <w:lvlJc w:val="left"/>
      <w:lvlText w:val="8"/>
      <w:numFmt w:val="bullet"/>
      <w:start w:val="1"/>
    </w:lvl>
  </w:abstractNum>
  <w:abstractNum w:abstractNumId="7">
    <w:nsid w:val="3352255A"/>
    <w:multiLevelType w:val="hybridMultilevel"/>
    <w:lvl w:ilvl="0">
      <w:lvlJc w:val="left"/>
      <w:lvlText w:val="9"/>
      <w:numFmt w:val="bullet"/>
      <w:start w:val="1"/>
    </w:lvl>
  </w:abstractNum>
  <w:abstractNum w:abstractNumId="8">
    <w:nsid w:val="109CF92E"/>
    <w:multiLevelType w:val="hybridMultilevel"/>
    <w:lvl w:ilvl="0">
      <w:lvlJc w:val="left"/>
      <w:lvlText w:val="%1"/>
      <w:numFmt w:val="decimal"/>
      <w:start w:val="10"/>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2"/>
    </w:lvl>
  </w:abstractNum>
  <w:abstractNum w:abstractNumId="11">
    <w:nsid w:val="1BEFD79F"/>
    <w:multiLevelType w:val="hybridMultilevel"/>
    <w:lvl w:ilvl="0">
      <w:lvlJc w:val="left"/>
      <w:lvlText w:val="(%1)"/>
      <w:numFmt w:val="decimal"/>
      <w:start w:val="3"/>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lvl w:ilvl="1">
      <w:lvlJc w:val="left"/>
      <w:lvlText w:val="(%2)"/>
      <w:numFmt w:val="lowerRoman"/>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2019-12-16T20:06:46Z</dcterms:created>
  <dcterms:modified xsi:type="dcterms:W3CDTF">2019-12-16T20:06:46Z</dcterms:modified>
</cp:coreProperties>
</file>