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OPTIMIZERX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407 SIXTH STREET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ROCHESTER, MI 48307</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February 12, 2009</w:t>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u w:val="single" w:color="auto"/>
          <w:color w:val="auto"/>
        </w:rPr>
        <w:t>VIA FACSIMILE (202-772-9210) AND EDGAR</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100 F Street, N.E.</w:t>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Washington, D.C. 20549</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Attention: David Orlic, Special Counsel</w:t>
      </w:r>
    </w:p>
    <w:p>
      <w:pPr>
        <w:spacing w:after="0" w:line="182" w:lineRule="exact"/>
        <w:rPr>
          <w:sz w:val="24"/>
          <w:szCs w:val="24"/>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Re:</w:t>
      </w:r>
      <w:r>
        <w:rPr>
          <w:sz w:val="20"/>
          <w:szCs w:val="20"/>
          <w:color w:val="auto"/>
        </w:rPr>
        <w:tab/>
      </w:r>
      <w:r>
        <w:rPr>
          <w:rFonts w:ascii="Arial" w:cs="Arial" w:eastAsia="Arial" w:hAnsi="Arial"/>
          <w:sz w:val="12"/>
          <w:szCs w:val="12"/>
          <w:b w:val="1"/>
          <w:bCs w:val="1"/>
          <w:color w:val="auto"/>
        </w:rPr>
        <w:t>OptimizeRx Corporation</w:t>
      </w:r>
    </w:p>
    <w:p>
      <w:pPr>
        <w:spacing w:after="0" w:line="19" w:lineRule="exact"/>
        <w:rPr>
          <w:sz w:val="24"/>
          <w:szCs w:val="24"/>
          <w:color w:val="auto"/>
        </w:rPr>
      </w:pPr>
    </w:p>
    <w:p>
      <w:pPr>
        <w:jc w:val="right"/>
        <w:ind w:right="9640"/>
        <w:spacing w:after="0"/>
        <w:rPr>
          <w:sz w:val="20"/>
          <w:szCs w:val="20"/>
          <w:color w:val="auto"/>
        </w:rPr>
      </w:pPr>
      <w:r>
        <w:rPr>
          <w:rFonts w:ascii="Arial" w:cs="Arial" w:eastAsia="Arial" w:hAnsi="Arial"/>
          <w:sz w:val="10"/>
          <w:szCs w:val="10"/>
          <w:b w:val="1"/>
          <w:bCs w:val="1"/>
          <w:color w:val="auto"/>
        </w:rPr>
        <w:t>Registration Statement on Form S-1</w:t>
      </w:r>
    </w:p>
    <w:p>
      <w:pPr>
        <w:spacing w:after="0" w:line="29" w:lineRule="exact"/>
        <w:rPr>
          <w:sz w:val="24"/>
          <w:szCs w:val="24"/>
          <w:color w:val="auto"/>
        </w:rPr>
      </w:pPr>
    </w:p>
    <w:p>
      <w:pPr>
        <w:jc w:val="right"/>
        <w:ind w:right="9620"/>
        <w:spacing w:after="0"/>
        <w:rPr>
          <w:sz w:val="20"/>
          <w:szCs w:val="20"/>
          <w:color w:val="auto"/>
        </w:rPr>
      </w:pPr>
      <w:r>
        <w:rPr>
          <w:rFonts w:ascii="Arial" w:cs="Arial" w:eastAsia="Arial" w:hAnsi="Arial"/>
          <w:sz w:val="12"/>
          <w:szCs w:val="12"/>
          <w:b w:val="1"/>
          <w:bCs w:val="1"/>
          <w:color w:val="auto"/>
        </w:rPr>
        <w:t>File No. 333-155280</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86" w:lineRule="exact"/>
        <w:rPr>
          <w:sz w:val="24"/>
          <w:szCs w:val="24"/>
          <w:color w:val="auto"/>
        </w:rPr>
      </w:pPr>
    </w:p>
    <w:p>
      <w:pPr>
        <w:jc w:val="both"/>
        <w:spacing w:after="0" w:line="263" w:lineRule="auto"/>
        <w:rPr>
          <w:sz w:val="20"/>
          <w:szCs w:val="20"/>
          <w:color w:val="auto"/>
        </w:rPr>
      </w:pPr>
      <w:r>
        <w:rPr>
          <w:rFonts w:ascii="Arial" w:cs="Arial" w:eastAsia="Arial" w:hAnsi="Arial"/>
          <w:sz w:val="12"/>
          <w:szCs w:val="12"/>
          <w:color w:val="auto"/>
        </w:rPr>
        <w:t>We hereby withdraw our acceleration letter dated February 11, 2009 and hereby replace such letter with this request. Pursuant to Rule 461 of the General Rules and Regulations under the Securities Act of 1933, as amended (the “Act”), OptimizeRX Corporation (the “Company”) respectfully requests that the effective date of the registration statement referred to above be accelerated so that it will become effective at 11:00 a.m., Eastern Time, Thursday, February 12, 2009 or as soon thereafter as possible</w:t>
      </w:r>
    </w:p>
    <w:p>
      <w:pPr>
        <w:spacing w:after="0" w:line="159" w:lineRule="exact"/>
        <w:rPr>
          <w:sz w:val="24"/>
          <w:szCs w:val="24"/>
          <w:color w:val="auto"/>
        </w:rPr>
      </w:pPr>
    </w:p>
    <w:p>
      <w:pPr>
        <w:ind w:left="420"/>
        <w:spacing w:after="0"/>
        <w:rPr>
          <w:sz w:val="20"/>
          <w:szCs w:val="20"/>
          <w:color w:val="auto"/>
        </w:rPr>
      </w:pPr>
      <w:r>
        <w:rPr>
          <w:rFonts w:ascii="Arial" w:cs="Arial" w:eastAsia="Arial" w:hAnsi="Arial"/>
          <w:sz w:val="12"/>
          <w:szCs w:val="12"/>
          <w:color w:val="auto"/>
        </w:rPr>
        <w:t>We hereby acknowledge the following:</w:t>
      </w:r>
    </w:p>
    <w:p>
      <w:pPr>
        <w:spacing w:after="0" w:line="186" w:lineRule="exact"/>
        <w:rPr>
          <w:sz w:val="24"/>
          <w:szCs w:val="24"/>
          <w:color w:val="auto"/>
        </w:rPr>
      </w:pPr>
    </w:p>
    <w:p>
      <w:pPr>
        <w:ind w:left="640" w:hanging="17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that should the Commission or the staff, acting pursuant to delegated authority, declare the filing effective, it does not foreclose the Commission from taking any action with respect to the filing;</w:t>
      </w:r>
    </w:p>
    <w:p>
      <w:pPr>
        <w:spacing w:after="0" w:line="186" w:lineRule="exact"/>
        <w:rPr>
          <w:rFonts w:ascii="Arial" w:cs="Arial" w:eastAsia="Arial" w:hAnsi="Arial"/>
          <w:sz w:val="12"/>
          <w:szCs w:val="12"/>
          <w:color w:val="auto"/>
        </w:rPr>
      </w:pPr>
    </w:p>
    <w:p>
      <w:pPr>
        <w:ind w:left="640" w:right="20" w:hanging="179"/>
        <w:spacing w:after="0" w:line="276" w:lineRule="auto"/>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50" w:lineRule="exact"/>
        <w:rPr>
          <w:rFonts w:ascii="Arial" w:cs="Arial" w:eastAsia="Arial" w:hAnsi="Arial"/>
          <w:sz w:val="12"/>
          <w:szCs w:val="12"/>
          <w:color w:val="auto"/>
        </w:rPr>
      </w:pPr>
    </w:p>
    <w:p>
      <w:pPr>
        <w:ind w:left="640" w:hanging="179"/>
        <w:spacing w:after="0"/>
        <w:tabs>
          <w:tab w:leader="none" w:pos="64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Company may not assert staff comments and the declaration of effectiveness as a defense in any proceeding initiated by the Commission or any person under the federal securities laws of the United States.</w:t>
      </w:r>
    </w:p>
    <w:p>
      <w:pPr>
        <w:spacing w:after="0" w:line="194" w:lineRule="exact"/>
        <w:rPr>
          <w:sz w:val="24"/>
          <w:szCs w:val="24"/>
          <w:color w:val="auto"/>
        </w:rPr>
      </w:pPr>
    </w:p>
    <w:p>
      <w:pPr>
        <w:ind w:left="5720"/>
        <w:spacing w:after="0"/>
        <w:rPr>
          <w:sz w:val="20"/>
          <w:szCs w:val="20"/>
          <w:color w:val="auto"/>
        </w:rPr>
      </w:pPr>
      <w:r>
        <w:rPr>
          <w:rFonts w:ascii="Arial" w:cs="Arial" w:eastAsia="Arial" w:hAnsi="Arial"/>
          <w:sz w:val="12"/>
          <w:szCs w:val="12"/>
          <w:b w:val="1"/>
          <w:bCs w:val="1"/>
          <w:color w:val="auto"/>
        </w:rPr>
        <w:t>OptimizeRX Corporation</w:t>
      </w:r>
    </w:p>
    <w:p>
      <w:pPr>
        <w:spacing w:after="0" w:line="163" w:lineRule="exact"/>
        <w:rPr>
          <w:sz w:val="24"/>
          <w:szCs w:val="24"/>
          <w:color w:val="auto"/>
        </w:rPr>
      </w:pPr>
    </w:p>
    <w:p>
      <w:pPr>
        <w:ind w:left="5720"/>
        <w:spacing w:after="0"/>
        <w:tabs>
          <w:tab w:leader="none" w:pos="6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David A Harrell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3861435</wp:posOffset>
            </wp:positionH>
            <wp:positionV relativeFrom="paragraph">
              <wp:posOffset>20955</wp:posOffset>
            </wp:positionV>
            <wp:extent cx="255079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22" w:lineRule="exact"/>
        <w:rPr>
          <w:sz w:val="24"/>
          <w:szCs w:val="24"/>
          <w:color w:val="auto"/>
        </w:rPr>
      </w:pPr>
    </w:p>
    <w:p>
      <w:pPr>
        <w:ind w:left="5720"/>
        <w:spacing w:after="0"/>
        <w:rPr>
          <w:sz w:val="20"/>
          <w:szCs w:val="20"/>
          <w:color w:val="auto"/>
        </w:rPr>
      </w:pPr>
      <w:r>
        <w:rPr>
          <w:rFonts w:ascii="Arial" w:cs="Arial" w:eastAsia="Arial" w:hAnsi="Arial"/>
          <w:sz w:val="12"/>
          <w:szCs w:val="12"/>
          <w:color w:val="auto"/>
        </w:rPr>
        <w:t>Name: David A Harrell</w:t>
      </w:r>
    </w:p>
    <w:p>
      <w:pPr>
        <w:spacing w:after="0" w:line="15" w:lineRule="exact"/>
        <w:rPr>
          <w:sz w:val="24"/>
          <w:szCs w:val="24"/>
          <w:color w:val="auto"/>
        </w:rPr>
      </w:pPr>
    </w:p>
    <w:p>
      <w:pPr>
        <w:ind w:left="5720"/>
        <w:spacing w:after="0"/>
        <w:tabs>
          <w:tab w:leader="none" w:pos="606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Chief Executive Officer</w:t>
      </w:r>
    </w:p>
    <w:sectPr>
      <w:pgSz w:w="11900" w:h="16838" w:orient="portrait"/>
      <w:cols w:equalWidth="0" w:num="1">
        <w:col w:w="11480"/>
      </w:cols>
      <w:pgMar w:left="220" w:top="19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2019-12-11T05:20:26Z</dcterms:created>
  <dcterms:modified xsi:type="dcterms:W3CDTF">2019-12-11T05:20:26Z</dcterms:modified>
</cp:coreProperties>
</file>