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60" w:type="dxa"/>
            <w:vAlign w:val="bottom"/>
            <w:gridSpan w:val="6"/>
          </w:tcPr>
          <w:p>
            <w:pPr>
              <w:jc w:val="center"/>
              <w:ind w:right="1460"/>
              <w:spacing w:after="0"/>
              <w:rPr>
                <w:sz w:val="20"/>
                <w:szCs w:val="20"/>
                <w:color w:val="auto"/>
              </w:rPr>
            </w:pPr>
            <w:r>
              <w:rPr>
                <w:rFonts w:ascii="Arial" w:cs="Arial" w:eastAsia="Arial" w:hAnsi="Arial"/>
                <w:sz w:val="18"/>
                <w:szCs w:val="18"/>
                <w:b w:val="1"/>
                <w:bCs w:val="1"/>
                <w:color w:val="auto"/>
              </w:rPr>
              <w:t>FORM 8-K</w:t>
            </w:r>
          </w:p>
        </w:tc>
        <w:tc>
          <w:tcPr>
            <w:tcW w:w="3260" w:type="dxa"/>
            <w:vAlign w:val="bottom"/>
          </w:tcPr>
          <w:p>
            <w:pPr>
              <w:spacing w:after="0"/>
              <w:rPr>
                <w:sz w:val="20"/>
                <w:szCs w:val="20"/>
                <w:color w:val="auto"/>
              </w:rPr>
            </w:pPr>
          </w:p>
        </w:tc>
      </w:tr>
      <w:tr>
        <w:trPr>
          <w:trHeight w:val="414"/>
        </w:trPr>
        <w:tc>
          <w:tcPr>
            <w:tcW w:w="3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60" w:type="dxa"/>
            <w:vAlign w:val="bottom"/>
            <w:gridSpan w:val="6"/>
          </w:tcPr>
          <w:p>
            <w:pPr>
              <w:jc w:val="center"/>
              <w:ind w:right="1460"/>
              <w:spacing w:after="0"/>
              <w:rPr>
                <w:sz w:val="20"/>
                <w:szCs w:val="20"/>
                <w:color w:val="auto"/>
              </w:rPr>
            </w:pPr>
            <w:r>
              <w:rPr>
                <w:rFonts w:ascii="Arial" w:cs="Arial" w:eastAsia="Arial" w:hAnsi="Arial"/>
                <w:sz w:val="18"/>
                <w:szCs w:val="18"/>
                <w:b w:val="1"/>
                <w:bCs w:val="1"/>
                <w:color w:val="auto"/>
                <w:w w:val="99"/>
              </w:rPr>
              <w:t>CURRENT REPORT</w:t>
            </w:r>
          </w:p>
        </w:tc>
        <w:tc>
          <w:tcPr>
            <w:tcW w:w="3260" w:type="dxa"/>
            <w:vAlign w:val="bottom"/>
          </w:tcPr>
          <w:p>
            <w:pPr>
              <w:spacing w:after="0"/>
              <w:rPr>
                <w:sz w:val="24"/>
                <w:szCs w:val="24"/>
                <w:color w:val="auto"/>
              </w:rPr>
            </w:pPr>
          </w:p>
        </w:tc>
      </w:tr>
      <w:tr>
        <w:trPr>
          <w:trHeight w:val="216"/>
        </w:trPr>
        <w:tc>
          <w:tcPr>
            <w:tcW w:w="30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40" w:type="dxa"/>
            <w:vAlign w:val="bottom"/>
            <w:gridSpan w:val="7"/>
          </w:tcPr>
          <w:p>
            <w:pPr>
              <w:jc w:val="center"/>
              <w:ind w:right="580"/>
              <w:spacing w:after="0"/>
              <w:rPr>
                <w:sz w:val="20"/>
                <w:szCs w:val="20"/>
                <w:color w:val="auto"/>
              </w:rPr>
            </w:pPr>
            <w:r>
              <w:rPr>
                <w:rFonts w:ascii="Arial" w:cs="Arial" w:eastAsia="Arial" w:hAnsi="Arial"/>
                <w:sz w:val="18"/>
                <w:szCs w:val="18"/>
                <w:b w:val="1"/>
                <w:bCs w:val="1"/>
                <w:color w:val="auto"/>
                <w:w w:val="97"/>
              </w:rPr>
              <w:t>PURSUANT TO SECTION 13 OR 15(d) OF</w:t>
            </w:r>
          </w:p>
        </w:tc>
        <w:tc>
          <w:tcPr>
            <w:tcW w:w="3260" w:type="dxa"/>
            <w:vAlign w:val="bottom"/>
          </w:tcPr>
          <w:p>
            <w:pPr>
              <w:spacing w:after="0"/>
              <w:rPr>
                <w:sz w:val="18"/>
                <w:szCs w:val="18"/>
                <w:color w:val="auto"/>
              </w:rPr>
            </w:pPr>
          </w:p>
        </w:tc>
      </w:tr>
      <w:tr>
        <w:trPr>
          <w:trHeight w:val="234"/>
        </w:trPr>
        <w:tc>
          <w:tcPr>
            <w:tcW w:w="3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360" w:type="dxa"/>
            <w:vAlign w:val="bottom"/>
            <w:gridSpan w:val="8"/>
          </w:tcPr>
          <w:p>
            <w:pPr>
              <w:jc w:val="center"/>
              <w:ind w:right="36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60" w:type="dxa"/>
            <w:vAlign w:val="bottom"/>
          </w:tcPr>
          <w:p>
            <w:pPr>
              <w:spacing w:after="0"/>
              <w:rPr>
                <w:sz w:val="20"/>
                <w:szCs w:val="20"/>
                <w:color w:val="auto"/>
              </w:rPr>
            </w:pPr>
          </w:p>
        </w:tc>
      </w:tr>
      <w:tr>
        <w:trPr>
          <w:trHeight w:val="432"/>
        </w:trPr>
        <w:tc>
          <w:tcPr>
            <w:tcW w:w="3060" w:type="dxa"/>
            <w:vAlign w:val="bottom"/>
          </w:tcPr>
          <w:p>
            <w:pPr>
              <w:spacing w:after="0"/>
              <w:rPr>
                <w:sz w:val="24"/>
                <w:szCs w:val="24"/>
                <w:color w:val="auto"/>
              </w:rPr>
            </w:pPr>
          </w:p>
        </w:tc>
        <w:tc>
          <w:tcPr>
            <w:tcW w:w="4920" w:type="dxa"/>
            <w:vAlign w:val="bottom"/>
            <w:gridSpan w:val="9"/>
          </w:tcPr>
          <w:p>
            <w:pPr>
              <w:jc w:val="center"/>
              <w:ind w:left="110"/>
              <w:spacing w:after="0"/>
              <w:rPr>
                <w:sz w:val="20"/>
                <w:szCs w:val="20"/>
                <w:color w:val="auto"/>
              </w:rPr>
            </w:pPr>
            <w:r>
              <w:rPr>
                <w:rFonts w:ascii="Arial" w:cs="Arial" w:eastAsia="Arial" w:hAnsi="Arial"/>
                <w:sz w:val="18"/>
                <w:szCs w:val="18"/>
                <w:color w:val="auto"/>
                <w:w w:val="90"/>
              </w:rPr>
              <w:t>Date of Report (Date of earliest event reported): June 22, 2020</w:t>
            </w:r>
          </w:p>
        </w:tc>
        <w:tc>
          <w:tcPr>
            <w:tcW w:w="3260" w:type="dxa"/>
            <w:vAlign w:val="bottom"/>
          </w:tcPr>
          <w:p>
            <w:pPr>
              <w:spacing w:after="0"/>
              <w:rPr>
                <w:sz w:val="24"/>
                <w:szCs w:val="24"/>
                <w:color w:val="auto"/>
              </w:rPr>
            </w:pPr>
          </w:p>
        </w:tc>
      </w:tr>
      <w:tr>
        <w:trPr>
          <w:trHeight w:val="391"/>
        </w:trPr>
        <w:tc>
          <w:tcPr>
            <w:tcW w:w="3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260" w:type="dxa"/>
            <w:vAlign w:val="bottom"/>
            <w:gridSpan w:val="6"/>
          </w:tcPr>
          <w:p>
            <w:pPr>
              <w:jc w:val="center"/>
              <w:ind w:right="1460"/>
              <w:spacing w:after="0"/>
              <w:rPr>
                <w:sz w:val="20"/>
                <w:szCs w:val="20"/>
                <w:color w:val="auto"/>
              </w:rPr>
            </w:pPr>
            <w:r>
              <w:rPr>
                <w:rFonts w:ascii="Arial" w:cs="Arial" w:eastAsia="Arial" w:hAnsi="Arial"/>
                <w:sz w:val="18"/>
                <w:szCs w:val="18"/>
                <w:color w:val="auto"/>
                <w:w w:val="93"/>
              </w:rPr>
              <w:t>OptimizeRx Corporation</w:t>
            </w:r>
          </w:p>
        </w:tc>
        <w:tc>
          <w:tcPr>
            <w:tcW w:w="3260" w:type="dxa"/>
            <w:vAlign w:val="bottom"/>
          </w:tcPr>
          <w:p>
            <w:pPr>
              <w:spacing w:after="0"/>
              <w:rPr>
                <w:sz w:val="24"/>
                <w:szCs w:val="24"/>
                <w:color w:val="auto"/>
              </w:rPr>
            </w:pPr>
          </w:p>
        </w:tc>
      </w:tr>
      <w:tr>
        <w:trPr>
          <w:trHeight w:val="20"/>
        </w:trPr>
        <w:tc>
          <w:tcPr>
            <w:tcW w:w="3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800" w:type="dxa"/>
            <w:vAlign w:val="bottom"/>
            <w:gridSpan w:val="3"/>
            <w:shd w:val="clear" w:color="auto" w:fill="000000"/>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237"/>
        </w:trPr>
        <w:tc>
          <w:tcPr>
            <w:tcW w:w="3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360" w:type="dxa"/>
            <w:vAlign w:val="bottom"/>
            <w:gridSpan w:val="8"/>
          </w:tcPr>
          <w:p>
            <w:pPr>
              <w:jc w:val="center"/>
              <w:ind w:right="360"/>
              <w:spacing w:after="0"/>
              <w:rPr>
                <w:sz w:val="20"/>
                <w:szCs w:val="20"/>
                <w:color w:val="auto"/>
              </w:rPr>
            </w:pPr>
            <w:r>
              <w:rPr>
                <w:rFonts w:ascii="Arial" w:cs="Arial" w:eastAsia="Arial" w:hAnsi="Arial"/>
                <w:sz w:val="18"/>
                <w:szCs w:val="18"/>
                <w:color w:val="auto"/>
                <w:w w:val="90"/>
              </w:rPr>
              <w:t>(Exact name of registrant as specified in its charter)</w:t>
            </w:r>
          </w:p>
        </w:tc>
        <w:tc>
          <w:tcPr>
            <w:tcW w:w="3260" w:type="dxa"/>
            <w:vAlign w:val="bottom"/>
          </w:tcPr>
          <w:p>
            <w:pPr>
              <w:spacing w:after="0"/>
              <w:rPr>
                <w:sz w:val="20"/>
                <w:szCs w:val="20"/>
                <w:color w:val="auto"/>
              </w:rPr>
            </w:pPr>
          </w:p>
        </w:tc>
      </w:tr>
      <w:tr>
        <w:trPr>
          <w:trHeight w:val="453"/>
        </w:trPr>
        <w:tc>
          <w:tcPr>
            <w:tcW w:w="3060" w:type="dxa"/>
            <w:vAlign w:val="bottom"/>
          </w:tcPr>
          <w:p>
            <w:pPr>
              <w:jc w:val="center"/>
              <w:ind w:left="470"/>
              <w:spacing w:after="0"/>
              <w:rPr>
                <w:sz w:val="20"/>
                <w:szCs w:val="20"/>
                <w:color w:val="auto"/>
              </w:rPr>
            </w:pPr>
            <w:r>
              <w:rPr>
                <w:rFonts w:ascii="Arial" w:cs="Arial" w:eastAsia="Arial" w:hAnsi="Arial"/>
                <w:sz w:val="18"/>
                <w:szCs w:val="18"/>
                <w:color w:val="auto"/>
                <w:w w:val="86"/>
              </w:rPr>
              <w:t>Nevada</w:t>
            </w:r>
          </w:p>
        </w:tc>
        <w:tc>
          <w:tcPr>
            <w:tcW w:w="3460" w:type="dxa"/>
            <w:vAlign w:val="bottom"/>
            <w:gridSpan w:val="6"/>
          </w:tcPr>
          <w:p>
            <w:pPr>
              <w:jc w:val="center"/>
              <w:ind w:left="1590"/>
              <w:spacing w:after="0"/>
              <w:rPr>
                <w:sz w:val="20"/>
                <w:szCs w:val="20"/>
                <w:color w:val="auto"/>
              </w:rPr>
            </w:pPr>
            <w:r>
              <w:rPr>
                <w:rFonts w:ascii="Arial" w:cs="Arial" w:eastAsia="Arial" w:hAnsi="Arial"/>
                <w:sz w:val="18"/>
                <w:szCs w:val="18"/>
                <w:color w:val="auto"/>
                <w:w w:val="90"/>
              </w:rPr>
              <w:t>001-38543</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60" w:type="dxa"/>
            <w:vAlign w:val="bottom"/>
          </w:tcPr>
          <w:p>
            <w:pPr>
              <w:jc w:val="center"/>
              <w:ind w:right="250"/>
              <w:spacing w:after="0"/>
              <w:rPr>
                <w:sz w:val="20"/>
                <w:szCs w:val="20"/>
                <w:color w:val="auto"/>
              </w:rPr>
            </w:pPr>
            <w:r>
              <w:rPr>
                <w:rFonts w:ascii="Arial" w:cs="Arial" w:eastAsia="Arial" w:hAnsi="Arial"/>
                <w:sz w:val="18"/>
                <w:szCs w:val="18"/>
                <w:color w:val="auto"/>
                <w:w w:val="91"/>
              </w:rPr>
              <w:t>26-1265381</w:t>
            </w:r>
          </w:p>
        </w:tc>
      </w:tr>
      <w:tr>
        <w:trPr>
          <w:trHeight w:val="202"/>
        </w:trPr>
        <w:tc>
          <w:tcPr>
            <w:tcW w:w="3060" w:type="dxa"/>
            <w:vAlign w:val="bottom"/>
            <w:tcBorders>
              <w:top w:val="single" w:sz="8" w:color="auto"/>
            </w:tcBorders>
          </w:tcPr>
          <w:p>
            <w:pPr>
              <w:jc w:val="center"/>
              <w:ind w:left="470"/>
              <w:spacing w:after="0" w:line="201" w:lineRule="exact"/>
              <w:rPr>
                <w:sz w:val="20"/>
                <w:szCs w:val="20"/>
                <w:color w:val="auto"/>
              </w:rPr>
            </w:pPr>
            <w:r>
              <w:rPr>
                <w:rFonts w:ascii="Arial" w:cs="Arial" w:eastAsia="Arial" w:hAnsi="Arial"/>
                <w:sz w:val="18"/>
                <w:szCs w:val="18"/>
                <w:color w:val="auto"/>
                <w:w w:val="92"/>
              </w:rPr>
              <w:t>(State or other jurisdiction</w:t>
            </w:r>
          </w:p>
        </w:tc>
        <w:tc>
          <w:tcPr>
            <w:tcW w:w="5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3"/>
              </w:rPr>
              <w:t>(Commission File Number)</w:t>
            </w:r>
          </w:p>
        </w:tc>
        <w:tc>
          <w:tcPr>
            <w:tcW w:w="2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3260" w:type="dxa"/>
            <w:vAlign w:val="bottom"/>
            <w:tcBorders>
              <w:top w:val="single" w:sz="8" w:color="auto"/>
            </w:tcBorders>
          </w:tcPr>
          <w:p>
            <w:pPr>
              <w:jc w:val="center"/>
              <w:ind w:right="25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060" w:type="dxa"/>
            <w:vAlign w:val="bottom"/>
          </w:tcPr>
          <w:p>
            <w:pPr>
              <w:jc w:val="center"/>
              <w:ind w:left="470"/>
              <w:spacing w:after="0"/>
              <w:rPr>
                <w:sz w:val="20"/>
                <w:szCs w:val="20"/>
                <w:color w:val="auto"/>
              </w:rPr>
            </w:pPr>
            <w:r>
              <w:rPr>
                <w:rFonts w:ascii="Arial" w:cs="Arial" w:eastAsia="Arial" w:hAnsi="Arial"/>
                <w:sz w:val="18"/>
                <w:szCs w:val="18"/>
                <w:color w:val="auto"/>
                <w:w w:val="93"/>
              </w:rPr>
              <w:t>of incorporation)</w:t>
            </w: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60" w:type="dxa"/>
            <w:vAlign w:val="bottom"/>
          </w:tcPr>
          <w:p>
            <w:pPr>
              <w:jc w:val="center"/>
              <w:ind w:right="23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7980" w:type="dxa"/>
            <w:vAlign w:val="bottom"/>
            <w:gridSpan w:val="10"/>
          </w:tcPr>
          <w:p>
            <w:pPr>
              <w:jc w:val="center"/>
              <w:ind w:right="2460"/>
              <w:spacing w:after="0"/>
              <w:rPr>
                <w:sz w:val="20"/>
                <w:szCs w:val="20"/>
                <w:color w:val="auto"/>
              </w:rPr>
            </w:pPr>
            <w:r>
              <w:rPr>
                <w:rFonts w:ascii="Arial" w:cs="Arial" w:eastAsia="Arial" w:hAnsi="Arial"/>
                <w:sz w:val="18"/>
                <w:szCs w:val="18"/>
                <w:color w:val="auto"/>
                <w:w w:val="89"/>
              </w:rPr>
              <w:t>400 Water Street, Suite 200, Rochester, MI</w:t>
            </w:r>
          </w:p>
        </w:tc>
        <w:tc>
          <w:tcPr>
            <w:tcW w:w="3260" w:type="dxa"/>
            <w:vAlign w:val="bottom"/>
          </w:tcPr>
          <w:p>
            <w:pPr>
              <w:jc w:val="right"/>
              <w:ind w:right="2430"/>
              <w:spacing w:after="0"/>
              <w:rPr>
                <w:sz w:val="20"/>
                <w:szCs w:val="20"/>
                <w:color w:val="auto"/>
              </w:rPr>
            </w:pPr>
            <w:r>
              <w:rPr>
                <w:rFonts w:ascii="Arial" w:cs="Arial" w:eastAsia="Arial" w:hAnsi="Arial"/>
                <w:sz w:val="18"/>
                <w:szCs w:val="18"/>
                <w:color w:val="auto"/>
              </w:rPr>
              <w:t>48307</w:t>
            </w:r>
          </w:p>
        </w:tc>
      </w:tr>
      <w:tr>
        <w:trPr>
          <w:trHeight w:val="230"/>
        </w:trPr>
        <w:tc>
          <w:tcPr>
            <w:tcW w:w="55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2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gridSpan w:val="3"/>
          </w:tcPr>
          <w:p>
            <w:pPr>
              <w:spacing w:after="0"/>
              <w:rPr>
                <w:sz w:val="20"/>
                <w:szCs w:val="20"/>
                <w:color w:val="auto"/>
              </w:rPr>
            </w:pPr>
          </w:p>
        </w:tc>
        <w:tc>
          <w:tcPr>
            <w:tcW w:w="3260" w:type="dxa"/>
            <w:vAlign w:val="bottom"/>
            <w:tcBorders>
              <w:top w:val="single" w:sz="8" w:color="auto"/>
            </w:tcBorders>
          </w:tcPr>
          <w:p>
            <w:pPr>
              <w:jc w:val="center"/>
              <w:ind w:right="2150"/>
              <w:spacing w:after="0"/>
              <w:rPr>
                <w:sz w:val="20"/>
                <w:szCs w:val="20"/>
                <w:color w:val="auto"/>
              </w:rPr>
            </w:pPr>
            <w:r>
              <w:rPr>
                <w:rFonts w:ascii="Arial" w:cs="Arial" w:eastAsia="Arial" w:hAnsi="Arial"/>
                <w:sz w:val="18"/>
                <w:szCs w:val="18"/>
                <w:color w:val="auto"/>
                <w:w w:val="91"/>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288925</wp:posOffset>
            </wp:positionV>
            <wp:extent cx="3566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w:t>
      </w: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7200" w:type="dxa"/>
            <w:vAlign w:val="bottom"/>
            <w:gridSpan w:val="4"/>
          </w:tcPr>
          <w:p>
            <w:pPr>
              <w:spacing w:after="0"/>
              <w:rPr>
                <w:sz w:val="20"/>
                <w:szCs w:val="20"/>
                <w:color w:val="auto"/>
              </w:rPr>
            </w:pPr>
            <w:r>
              <w:rPr>
                <w:rFonts w:ascii="Arial" w:cs="Arial" w:eastAsia="Arial" w:hAnsi="Arial"/>
                <w:sz w:val="18"/>
                <w:szCs w:val="18"/>
                <w:color w:val="auto"/>
                <w:w w:val="92"/>
              </w:rPr>
              <w:t>or revised financial accounting standards provided pursuant to Section 13(a) of the Exchange Act.</w:t>
            </w:r>
          </w:p>
        </w:tc>
        <w:tc>
          <w:tcPr>
            <w:tcW w:w="4040" w:type="dxa"/>
            <w:vAlign w:val="bottom"/>
            <w:gridSpan w:val="3"/>
          </w:tcPr>
          <w:p>
            <w:pPr>
              <w:ind w:left="140"/>
              <w:spacing w:after="0" w:line="181" w:lineRule="exact"/>
              <w:rPr>
                <w:sz w:val="20"/>
                <w:szCs w:val="20"/>
                <w:color w:val="auto"/>
              </w:rPr>
            </w:pPr>
            <w:r>
              <w:rPr>
                <w:rFonts w:ascii="MS PGothic" w:cs="MS PGothic" w:eastAsia="MS PGothic" w:hAnsi="MS PGothic"/>
                <w:sz w:val="18"/>
                <w:szCs w:val="18"/>
                <w:color w:val="auto"/>
              </w:rPr>
              <w:t>☐</w:t>
            </w:r>
          </w:p>
        </w:tc>
      </w:tr>
      <w:tr>
        <w:trPr>
          <w:trHeight w:val="370"/>
        </w:trPr>
        <w:tc>
          <w:tcPr>
            <w:tcW w:w="46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39"/>
        </w:trPr>
        <w:tc>
          <w:tcPr>
            <w:tcW w:w="4600" w:type="dxa"/>
            <w:vAlign w:val="bottom"/>
            <w:gridSpan w:val="3"/>
          </w:tcPr>
          <w:p>
            <w:pPr>
              <w:jc w:val="center"/>
              <w:ind w:right="980"/>
              <w:spacing w:after="0"/>
              <w:rPr>
                <w:sz w:val="20"/>
                <w:szCs w:val="20"/>
                <w:color w:val="auto"/>
              </w:rPr>
            </w:pPr>
            <w:r>
              <w:rPr>
                <w:rFonts w:ascii="Arial" w:cs="Arial" w:eastAsia="Arial" w:hAnsi="Arial"/>
                <w:sz w:val="18"/>
                <w:szCs w:val="18"/>
                <w:b w:val="1"/>
                <w:bCs w:val="1"/>
                <w:color w:val="auto"/>
                <w:w w:val="86"/>
              </w:rPr>
              <w:t>Title of each class</w:t>
            </w:r>
          </w:p>
        </w:tc>
        <w:tc>
          <w:tcPr>
            <w:tcW w:w="2600" w:type="dxa"/>
            <w:vAlign w:val="bottom"/>
          </w:tcPr>
          <w:p>
            <w:pPr>
              <w:jc w:val="center"/>
              <w:ind w:right="430"/>
              <w:spacing w:after="0"/>
              <w:rPr>
                <w:sz w:val="20"/>
                <w:szCs w:val="20"/>
                <w:color w:val="auto"/>
              </w:rPr>
            </w:pPr>
            <w:r>
              <w:rPr>
                <w:rFonts w:ascii="Arial" w:cs="Arial" w:eastAsia="Arial" w:hAnsi="Arial"/>
                <w:sz w:val="18"/>
                <w:szCs w:val="18"/>
                <w:b w:val="1"/>
                <w:bCs w:val="1"/>
                <w:color w:val="auto"/>
                <w:w w:val="89"/>
              </w:rPr>
              <w:t>Trading symbol</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Common Stock</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center"/>
              <w:ind w:right="430"/>
              <w:spacing w:after="0"/>
              <w:rPr>
                <w:sz w:val="20"/>
                <w:szCs w:val="20"/>
                <w:color w:val="auto"/>
              </w:rPr>
            </w:pPr>
            <w:r>
              <w:rPr>
                <w:rFonts w:ascii="Arial" w:cs="Arial" w:eastAsia="Arial" w:hAnsi="Arial"/>
                <w:sz w:val="18"/>
                <w:szCs w:val="18"/>
                <w:color w:val="auto"/>
                <w:w w:val="93"/>
              </w:rPr>
              <w:t>OPRX</w:t>
            </w:r>
          </w:p>
        </w:tc>
        <w:tc>
          <w:tcPr>
            <w:tcW w:w="2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216"/>
        </w:trPr>
        <w:tc>
          <w:tcPr>
            <w:tcW w:w="3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600" w:type="dxa"/>
            <w:vAlign w:val="bottom"/>
            <w:tcBorders>
              <w:bottom w:val="single" w:sz="8" w:color="auto"/>
            </w:tcBorders>
          </w:tcPr>
          <w:p>
            <w:pPr>
              <w:spacing w:after="0"/>
              <w:rPr>
                <w:sz w:val="18"/>
                <w:szCs w:val="18"/>
                <w:color w:val="auto"/>
              </w:rPr>
            </w:pPr>
          </w:p>
        </w:tc>
      </w:tr>
      <w:tr>
        <w:trPr>
          <w:trHeight w:val="28"/>
        </w:trPr>
        <w:tc>
          <w:tcPr>
            <w:tcW w:w="3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682"/>
        </w:trPr>
        <w:tc>
          <w:tcPr>
            <w:tcW w:w="36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4 – MATTERS RELATED TO ACCOUNTANTS AND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4.01 Changes in Registrant’s Certifying Accountant.</w:t>
      </w:r>
    </w:p>
    <w:p>
      <w:pPr>
        <w:spacing w:after="0" w:line="229" w:lineRule="exact"/>
        <w:rPr>
          <w:sz w:val="20"/>
          <w:szCs w:val="20"/>
          <w:color w:val="auto"/>
        </w:rPr>
      </w:pPr>
    </w:p>
    <w:p>
      <w:pPr>
        <w:jc w:val="both"/>
        <w:ind w:right="660"/>
        <w:spacing w:after="0" w:line="263" w:lineRule="auto"/>
        <w:rPr>
          <w:sz w:val="20"/>
          <w:szCs w:val="20"/>
          <w:color w:val="auto"/>
        </w:rPr>
      </w:pPr>
      <w:r>
        <w:rPr>
          <w:rFonts w:ascii="Arial" w:cs="Arial" w:eastAsia="Arial" w:hAnsi="Arial"/>
          <w:sz w:val="18"/>
          <w:szCs w:val="18"/>
          <w:color w:val="auto"/>
        </w:rPr>
        <w:t>On June 22, 2020, the Company engaged UHY LLP (the “New Accountant”) as the Company’s independent registered public accounting firm and dismissed Marcum LLP (the “Former Accountant”) as the Company’s independent registered public accounting firm. The engagement of the New Accountant was approved by the Company’s Audit Committee.</w:t>
      </w:r>
    </w:p>
    <w:p>
      <w:pPr>
        <w:spacing w:after="0" w:line="1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Former Accountant’s audit report on the financial statements of the Company for the year ended December 31, 2019 contained no adverse opinion or disclaimer of opinion, nor was it qualified or modified as to uncertainty, audit scope or accounting principles.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year ended December 31, 2019, and through the interim period ended June 22, 2020, there were no “disagreements” (as such term is defined in Item 304 of Regulation S-K) with the Former Accountant on any matter of accounting principles or practices, financial statement disclosure, or auditing scope or procedures, which disagreements if not resolved to the satisfaction of the Former Accountant would have caused them to make reference thereto in their reports on the financial statements for such periods.</w:t>
      </w:r>
    </w:p>
    <w:p>
      <w:pPr>
        <w:spacing w:after="0" w:line="187"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For the year ended December 31, 2019, and through the interim period ended June 22, 2020, there were the following “reportable events” (as such term is defined in Item 304 of Regulation S-K). As disclosed in Part II, Item 9A of the Company’s Form 10-K for the year ended December 31, 2019, the Company’s management determined that the Company’s internal controls over financial reporting were not effective as of the end of such period.</w:t>
      </w:r>
    </w:p>
    <w:p>
      <w:pPr>
        <w:spacing w:after="0" w:line="14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Due to the existence of the material weaknesses, as explained above, the Former Accountant expressed an adverse opinion on the effectiveness of the Company’s internal controls over financial reporting as of December 31,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internal controls have not been completely remediated as of the date of this Current Report on Form 8-K.</w:t>
      </w:r>
    </w:p>
    <w:p>
      <w:pPr>
        <w:spacing w:after="0" w:line="22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Other than as disclosed above, there were no reportable events for the year ended December 31, 2019, and through the interim period ended June 22, 2020. the Company’s Board of Directors discussed the subject matter of each reportable event with the Former Accountant. The Company authorized the Former Accountant to respond fully and without limitation to all requests of the New Accountant concerning all matters related to the audited period by the Former Accountant, including with respect to the subject matter of each reportable event.</w:t>
      </w:r>
    </w:p>
    <w:p>
      <w:pPr>
        <w:spacing w:after="0" w:line="187"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Prior to retaining the New Accountant, the Company did not consult with the New Accountant regarding either: (i) the application of accounting principles to a specified transaction, either contemplated or proposed, or the type of audit opinion that might be rendered on the Company’s financial statements; or (ii) any matter that was the subject of a “disagreement” or a “reportable event” (as those terms are defined in Item 304 of Regulation S-K).</w:t>
      </w:r>
    </w:p>
    <w:p>
      <w:pPr>
        <w:spacing w:after="0" w:line="149"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On June 24, 2020, the Company provided the Former Accountant with its disclosures in the Current Report on Form 8-K disclosing the dismissal of the Former Accountant and requested in writing that the Former Accountant furnish the Company with a letter addressed to the Securities and Exchange Commission stating whether or not they agree with such disclosures. The Former Accountant’s response is filed as an exhibit to this Current Report on Form 8-K.</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 w:lineRule="exact"/>
        <w:rPr>
          <w:sz w:val="20"/>
          <w:szCs w:val="20"/>
          <w:color w:val="auto"/>
        </w:rPr>
      </w:pPr>
    </w:p>
    <w:p>
      <w:pPr>
        <w:spacing w:after="0"/>
        <w:tabs>
          <w:tab w:leader="none" w:pos="1120" w:val="left"/>
        </w:tabs>
        <w:rPr>
          <w:rFonts w:ascii="Arial" w:cs="Arial" w:eastAsia="Arial" w:hAnsi="Arial"/>
          <w:sz w:val="16"/>
          <w:szCs w:val="16"/>
          <w:u w:val="single" w:color="auto"/>
          <w:color w:val="0000EE"/>
        </w:rPr>
      </w:pPr>
      <w:r>
        <w:rPr>
          <w:rFonts w:ascii="Arial" w:cs="Arial" w:eastAsia="Arial" w:hAnsi="Arial"/>
          <w:sz w:val="18"/>
          <w:szCs w:val="18"/>
          <w:color w:val="auto"/>
        </w:rPr>
        <w:t>16.1</w:t>
      </w:r>
      <w:r>
        <w:rPr>
          <w:sz w:val="20"/>
          <w:szCs w:val="20"/>
          <w:color w:val="auto"/>
        </w:rPr>
        <w:tab/>
      </w:r>
      <w:hyperlink w:anchor="page5">
        <w:r>
          <w:rPr>
            <w:rFonts w:ascii="Arial" w:cs="Arial" w:eastAsia="Arial" w:hAnsi="Arial"/>
            <w:sz w:val="16"/>
            <w:szCs w:val="16"/>
            <w:u w:val="single" w:color="auto"/>
            <w:color w:val="0000EE"/>
          </w:rPr>
          <w:t>Letter from Marcum LLP to the Securities and Exchange Commission</w:t>
        </w:r>
      </w:hyperlink>
    </w:p>
    <w:p>
      <w:pPr>
        <w:spacing w:after="0" w:line="200" w:lineRule="exact"/>
        <w:rPr>
          <w:sz w:val="20"/>
          <w:szCs w:val="20"/>
          <w:color w:val="auto"/>
        </w:rPr>
      </w:pPr>
    </w:p>
    <w:p>
      <w:pPr>
        <w:spacing w:after="0" w:line="234"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543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26, 2020</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16.1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June 26,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Commissioners:</w:t>
      </w:r>
    </w:p>
    <w:p>
      <w:pPr>
        <w:spacing w:after="0" w:line="22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We have read the statements made by OptimizeRx Corporation under Item 4.01 of its Form 8-K dated June 22, 2020. We agree with the statements concerning our Firm in such Form 8-K; we are not in a position to agree or disagree with other statements of OptimizeRx Corporation contained therein.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Marcum LLP</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2020-06-26T16:17:04Z</dcterms:created>
  <dcterms:modified xsi:type="dcterms:W3CDTF">2020-06-26T16:17:04Z</dcterms:modified>
</cp:coreProperties>
</file>