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7"/>
              </w:rPr>
              <w:t>FORM S-8</w:t>
            </w:r>
          </w:p>
        </w:tc>
        <w:tc>
          <w:tcPr>
            <w:tcW w:w="3580" w:type="dxa"/>
            <w:vAlign w:val="bottom"/>
          </w:tcPr>
          <w:p>
            <w:pPr>
              <w:spacing w:after="0"/>
              <w:rPr>
                <w:sz w:val="20"/>
                <w:szCs w:val="20"/>
                <w:color w:val="auto"/>
              </w:rPr>
            </w:pPr>
          </w:p>
        </w:tc>
      </w:tr>
      <w:tr>
        <w:trPr>
          <w:trHeight w:val="414"/>
        </w:trPr>
        <w:tc>
          <w:tcPr>
            <w:tcW w:w="7660" w:type="dxa"/>
            <w:vAlign w:val="bottom"/>
            <w:gridSpan w:val="7"/>
          </w:tcPr>
          <w:p>
            <w:pPr>
              <w:jc w:val="center"/>
              <w:ind w:left="3510"/>
              <w:spacing w:after="0"/>
              <w:rPr>
                <w:sz w:val="20"/>
                <w:szCs w:val="20"/>
                <w:color w:val="auto"/>
              </w:rPr>
            </w:pPr>
            <w:r>
              <w:rPr>
                <w:rFonts w:ascii="Arial" w:cs="Arial" w:eastAsia="Arial" w:hAnsi="Arial"/>
                <w:sz w:val="18"/>
                <w:szCs w:val="18"/>
                <w:b w:val="1"/>
                <w:bCs w:val="1"/>
                <w:color w:val="auto"/>
              </w:rPr>
              <w:t>REGISTRATION STATEMENT</w:t>
            </w:r>
          </w:p>
        </w:tc>
        <w:tc>
          <w:tcPr>
            <w:tcW w:w="3580" w:type="dxa"/>
            <w:vAlign w:val="bottom"/>
          </w:tcPr>
          <w:p>
            <w:pPr>
              <w:spacing w:after="0"/>
              <w:rPr>
                <w:sz w:val="24"/>
                <w:szCs w:val="24"/>
                <w:color w:val="auto"/>
              </w:rPr>
            </w:pPr>
          </w:p>
        </w:tc>
      </w:tr>
      <w:tr>
        <w:trPr>
          <w:trHeight w:val="234"/>
        </w:trPr>
        <w:tc>
          <w:tcPr>
            <w:tcW w:w="7660" w:type="dxa"/>
            <w:vAlign w:val="bottom"/>
            <w:gridSpan w:val="7"/>
          </w:tcPr>
          <w:p>
            <w:pPr>
              <w:jc w:val="center"/>
              <w:ind w:left="3490"/>
              <w:spacing w:after="0"/>
              <w:rPr>
                <w:sz w:val="20"/>
                <w:szCs w:val="20"/>
                <w:color w:val="auto"/>
              </w:rPr>
            </w:pPr>
            <w:r>
              <w:rPr>
                <w:rFonts w:ascii="Arial" w:cs="Arial" w:eastAsia="Arial" w:hAnsi="Arial"/>
                <w:sz w:val="18"/>
                <w:szCs w:val="18"/>
                <w:b w:val="1"/>
                <w:bCs w:val="1"/>
                <w:color w:val="auto"/>
                <w:w w:val="99"/>
              </w:rPr>
              <w:t>UNDER THE SECURITIES ACT OF 1933</w:t>
            </w:r>
          </w:p>
        </w:tc>
        <w:tc>
          <w:tcPr>
            <w:tcW w:w="3580" w:type="dxa"/>
            <w:vAlign w:val="bottom"/>
          </w:tcPr>
          <w:p>
            <w:pPr>
              <w:spacing w:after="0"/>
              <w:rPr>
                <w:sz w:val="20"/>
                <w:szCs w:val="20"/>
                <w:color w:val="auto"/>
              </w:rPr>
            </w:pPr>
          </w:p>
        </w:tc>
      </w:tr>
      <w:tr>
        <w:trPr>
          <w:trHeight w:val="392"/>
        </w:trPr>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OptimizeRx Corp.</w:t>
            </w:r>
          </w:p>
        </w:tc>
        <w:tc>
          <w:tcPr>
            <w:tcW w:w="132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7"/>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0"/>
              </w:rPr>
              <w:t>Nevada</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60" w:type="dxa"/>
            <w:vAlign w:val="bottom"/>
            <w:gridSpan w:val="7"/>
          </w:tcPr>
          <w:p>
            <w:pPr>
              <w:jc w:val="center"/>
              <w:ind w:right="2140"/>
              <w:spacing w:after="0"/>
              <w:rPr>
                <w:sz w:val="20"/>
                <w:szCs w:val="20"/>
                <w:color w:val="auto"/>
              </w:rPr>
            </w:pPr>
            <w:r>
              <w:rPr>
                <w:rFonts w:ascii="Arial" w:cs="Arial" w:eastAsia="Arial" w:hAnsi="Arial"/>
                <w:sz w:val="18"/>
                <w:szCs w:val="18"/>
                <w:color w:val="auto"/>
                <w:w w:val="92"/>
              </w:rPr>
              <w:t>of 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60" w:type="dxa"/>
            <w:vAlign w:val="bottom"/>
            <w:gridSpan w:val="7"/>
          </w:tcPr>
          <w:p>
            <w:pPr>
              <w:jc w:val="center"/>
              <w:ind w:left="3510"/>
              <w:spacing w:after="0"/>
              <w:rPr>
                <w:sz w:val="20"/>
                <w:szCs w:val="20"/>
                <w:color w:val="auto"/>
              </w:rPr>
            </w:pPr>
            <w:r>
              <w:rPr>
                <w:rFonts w:ascii="Arial" w:cs="Arial" w:eastAsia="Arial" w:hAnsi="Arial"/>
                <w:sz w:val="18"/>
                <w:szCs w:val="18"/>
                <w:b w:val="1"/>
                <w:bCs w:val="1"/>
                <w:color w:val="auto"/>
                <w:w w:val="91"/>
              </w:rPr>
              <w:t>400 Water Street, Suite 200,</w:t>
            </w:r>
          </w:p>
        </w:tc>
        <w:tc>
          <w:tcPr>
            <w:tcW w:w="3580" w:type="dxa"/>
            <w:vAlign w:val="bottom"/>
          </w:tcPr>
          <w:p>
            <w:pPr>
              <w:spacing w:after="0"/>
              <w:rPr>
                <w:sz w:val="24"/>
                <w:szCs w:val="24"/>
                <w:color w:val="auto"/>
              </w:rPr>
            </w:pPr>
          </w:p>
        </w:tc>
      </w:tr>
      <w:tr>
        <w:trPr>
          <w:trHeight w:val="194"/>
        </w:trPr>
        <w:tc>
          <w:tcPr>
            <w:tcW w:w="4840" w:type="dxa"/>
            <w:vAlign w:val="bottom"/>
          </w:tcPr>
          <w:p>
            <w:pPr>
              <w:spacing w:after="0"/>
              <w:rPr>
                <w:sz w:val="16"/>
                <w:szCs w:val="16"/>
                <w:color w:val="auto"/>
              </w:rPr>
            </w:pPr>
          </w:p>
        </w:tc>
        <w:tc>
          <w:tcPr>
            <w:tcW w:w="158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1"/>
              </w:rPr>
              <w:t>Rochester, MI 48307</w:t>
            </w:r>
          </w:p>
        </w:tc>
        <w:tc>
          <w:tcPr>
            <w:tcW w:w="124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37"/>
        </w:trPr>
        <w:tc>
          <w:tcPr>
            <w:tcW w:w="7660" w:type="dxa"/>
            <w:vAlign w:val="bottom"/>
            <w:gridSpan w:val="7"/>
          </w:tcPr>
          <w:p>
            <w:pPr>
              <w:jc w:val="center"/>
              <w:ind w:left="351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OptimizeRx Corp. 2013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Spring Valley Solutions,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(702) 982-5686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18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w:t>
            </w: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2"/>
        </w:trPr>
        <w:tc>
          <w:tcPr>
            <w:tcW w:w="10660" w:type="dxa"/>
            <w:vAlign w:val="bottom"/>
            <w:vMerge w:val="restart"/>
          </w:tcPr>
          <w:p>
            <w:pPr>
              <w:spacing w:after="0"/>
              <w:rPr>
                <w:sz w:val="20"/>
                <w:szCs w:val="20"/>
                <w:color w:val="auto"/>
              </w:rPr>
            </w:pPr>
            <w:r>
              <w:rPr>
                <w:rFonts w:ascii="Arial" w:cs="Arial" w:eastAsia="Arial" w:hAnsi="Arial"/>
                <w:sz w:val="18"/>
                <w:szCs w:val="18"/>
                <w:color w:val="auto"/>
              </w:rPr>
              <w:t>any new or revised financial accounting standards provided pursuant to Section 7(a)(2)(B) of the Securities Act.</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0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2"/>
        </w:trPr>
        <w:tc>
          <w:tcPr>
            <w:tcW w:w="10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400" w:type="dxa"/>
            <w:vAlign w:val="bottom"/>
            <w:gridSpan w:val="4"/>
          </w:tcPr>
          <w:p>
            <w:pPr>
              <w:ind w:left="4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ALCULATION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maximum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maximum</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 to be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offering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aggregate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registration</w:t>
            </w:r>
          </w:p>
        </w:tc>
      </w:tr>
      <w:tr>
        <w:trPr>
          <w:trHeight w:val="277"/>
        </w:trPr>
        <w:tc>
          <w:tcPr>
            <w:tcW w:w="3960" w:type="dxa"/>
            <w:vAlign w:val="bottom"/>
          </w:tcPr>
          <w:p>
            <w:pPr>
              <w:spacing w:after="0"/>
              <w:rPr>
                <w:sz w:val="20"/>
                <w:szCs w:val="20"/>
                <w:color w:val="auto"/>
              </w:rPr>
            </w:pPr>
            <w:r>
              <w:rPr>
                <w:rFonts w:ascii="Arial" w:cs="Arial" w:eastAsia="Arial" w:hAnsi="Arial"/>
                <w:sz w:val="18"/>
                <w:szCs w:val="18"/>
                <w:b w:val="1"/>
                <w:bCs w:val="1"/>
                <w:color w:val="auto"/>
                <w:w w:val="96"/>
              </w:rPr>
              <w:t>Title of each class of securities to be registered</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line="270"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24"/>
                <w:szCs w:val="24"/>
                <w:color w:val="auto"/>
              </w:rPr>
            </w:pPr>
          </w:p>
        </w:tc>
        <w:tc>
          <w:tcPr>
            <w:tcW w:w="1260" w:type="dxa"/>
            <w:vAlign w:val="bottom"/>
            <w:gridSpan w:val="2"/>
          </w:tcPr>
          <w:p>
            <w:pPr>
              <w:jc w:val="center"/>
              <w:ind w:right="320"/>
              <w:spacing w:after="0" w:line="270"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29"/>
                <w:szCs w:val="29"/>
                <w:b w:val="1"/>
                <w:bCs w:val="1"/>
                <w:color w:val="auto"/>
                <w:w w:val="85"/>
                <w:vertAlign w:val="superscript"/>
              </w:rPr>
              <w:t>(2)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offering 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fee</w:t>
            </w:r>
          </w:p>
        </w:tc>
      </w:tr>
      <w:tr>
        <w:trPr>
          <w:trHeight w:val="216"/>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139,890,000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15,262.00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right="20" w:hanging="332"/>
        <w:spacing w:after="0" w:line="229" w:lineRule="auto"/>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This Registration Statement covers an additional 3,000,000 shares of Common Stock that may be offered or issued pursuant to the Amended and Restated OptimizeRx Corp. 2013 Equity Incentive Plan (the “Plan”). In addition, pursuant to Rule 416(c) under the Securities Act of 1933, as amended (the “Securities Act”), this Registration Statement also covers an indeterminate number of shares of Common Stock that may be offered or issued by reason of stock splits, stock dividends or similar transactions that become issuable under the Plan.</w:t>
      </w:r>
    </w:p>
    <w:p>
      <w:pPr>
        <w:spacing w:after="0" w:line="202" w:lineRule="exact"/>
        <w:rPr>
          <w:rFonts w:ascii="Arial" w:cs="Arial" w:eastAsia="Arial" w:hAnsi="Arial"/>
          <w:sz w:val="29"/>
          <w:szCs w:val="29"/>
          <w:color w:val="auto"/>
          <w:vertAlign w:val="superscript"/>
        </w:rPr>
      </w:pPr>
    </w:p>
    <w:p>
      <w:pPr>
        <w:jc w:val="both"/>
        <w:ind w:left="340" w:right="80" w:hanging="332"/>
        <w:spacing w:after="0" w:line="209" w:lineRule="auto"/>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Estimated in accordance with Rule 457(c) promulgated under the Securities Act solely for the purpose of calculating the amount of the registration fee on the basis of the average of the high and low price per share of the Registrant’s Common Stock as reported on the Nasdaq Capital Market on March 26,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shall become effective upon filing in accordance with Rule 462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General Instruction E to Form S-8, this Registration Statement incorporates by reference the contents of Registration Statement No. 333-237630 on Form S-8 filed by OptimizeRx Corp. (the “Company”) on April 10, 2020, the Registration Statement No. 333-230212 on Form S-8 filed by the Company on March 12, 2019, the Registration Statement No. 333-210653 on Form S-8 filed by the Company on April 8, 2016 and the Registration Statement No. 333- 189439 on Form S-8 filed by the Company on June 19, 2013, relating to shares of Common Stock issuable pursuant to the OptimizeRx Corp. 2013 Incentive Plan (as amended and restated, the “Plan”). This Registration Statement, which is being filed to register an additional 3,000,000 shares of Common Stock made available for issuance pursuant to the Plan, consists of the facing page, this page, other required information, required opinions, consents and other exhibits, and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SEC allows us to “incorporate by reference” the information we file with the SEC. This permits us to disclose important information to you by referring to these filed documents. Any information referred to in this way is considered part of this prospectus supplement. The information incorporated by reference is an important part of this prospectus supplement and the accompanying prospectus, and information that we file later with the SEC will automatically update and supersede this information. We incorporate by reference the following documents that have been filed with the SEC (other than information furnished under Item 2.02, Item 7.01 and Item 8.01 of Form 8-K and all exhibits related to such items):</w:t>
      </w:r>
    </w:p>
    <w:p>
      <w:pPr>
        <w:spacing w:after="0" w:line="17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8, 2021;</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 our Registration Statement on </w:t>
      </w:r>
      <w:hyperlink r:id="rId15">
        <w:r>
          <w:rPr>
            <w:rFonts w:ascii="Arial" w:cs="Arial" w:eastAsia="Arial" w:hAnsi="Arial"/>
            <w:sz w:val="18"/>
            <w:szCs w:val="18"/>
            <w:u w:val="single" w:color="auto"/>
            <w:color w:val="0000EE"/>
          </w:rPr>
          <w:t>Form S-3ASR</w:t>
        </w:r>
      </w:hyperlink>
      <w:r>
        <w:rPr>
          <w:rFonts w:ascii="Arial" w:cs="Arial" w:eastAsia="Arial" w:hAnsi="Arial"/>
          <w:sz w:val="18"/>
          <w:szCs w:val="18"/>
          <w:color w:val="auto"/>
        </w:rPr>
        <w:t>, filed with the SEC on February 8, 2021, including any amendment, supplements or reports filed for the purpose of updating such description.</w:t>
      </w:r>
    </w:p>
    <w:p>
      <w:pPr>
        <w:spacing w:after="0" w:line="185" w:lineRule="exact"/>
        <w:rPr>
          <w:rFonts w:ascii="Arial" w:cs="Arial" w:eastAsia="Arial" w:hAnsi="Arial"/>
          <w:sz w:val="18"/>
          <w:szCs w:val="18"/>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all other documents filed (not furnished) by us pursuant to Section 13(a), Section 13(c), Section 14 or Section 15(d) of the Exchange Act on or after the date of this reoffer prospectus and prior to the termination of this offering, shall be deemed to be incorporated by reference into this reoffer prospectus and to be a part of this reoffer prospectus from the date of the filing of such documents; provided, however, that documents or information deemed to have been furnished to and not filed with the SEC in accordance with the rules of the SEC shall not be deemed incorporated by reference into this reoffer prospectus.</w:t>
      </w:r>
    </w:p>
    <w:p>
      <w:pPr>
        <w:spacing w:after="0" w:line="188" w:lineRule="exact"/>
        <w:rPr>
          <w:rFonts w:ascii="Arial" w:cs="Arial" w:eastAsia="Arial" w:hAnsi="Arial"/>
          <w:sz w:val="18"/>
          <w:szCs w:val="18"/>
          <w:color w:val="auto"/>
        </w:rPr>
      </w:pPr>
    </w:p>
    <w:p>
      <w:pPr>
        <w:ind w:right="140" w:firstLine="648"/>
        <w:spacing w:after="0" w:line="263"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and the accompanying prospectus or in a later filed document that is incorporated or deemed to be incorporated herein by reference modifies or replaces such information.</w:t>
      </w:r>
    </w:p>
    <w:p>
      <w:pPr>
        <w:spacing w:after="0" w:line="184" w:lineRule="exact"/>
        <w:rPr>
          <w:rFonts w:ascii="Arial" w:cs="Arial" w:eastAsia="Arial" w:hAnsi="Arial"/>
          <w:sz w:val="18"/>
          <w:szCs w:val="18"/>
          <w:color w:val="auto"/>
        </w:rPr>
      </w:pPr>
    </w:p>
    <w:p>
      <w:pPr>
        <w:ind w:right="140" w:firstLine="648"/>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(other than exhibits, unless such exhibits are specifically incorporate by reference), by contacting Douglas Baker, c/o OptimizeRx Corporation, at 400 Water Street, Suite 200, Rochester, MI 48307. Our telephone number is (248) 651-6568.</w:t>
      </w:r>
    </w:p>
    <w:p>
      <w:pPr>
        <w:spacing w:after="0" w:line="18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140"/>
          </w:cols>
          <w:pgMar w:left="320" w:top="904" w:right="439" w:bottom="1440" w:gutter="0" w:footer="0" w:header="0"/>
        </w:sectPr>
      </w:pPr>
    </w:p>
    <w:p>
      <w:pPr>
        <w:spacing w:after="0" w:line="225" w:lineRule="exact"/>
        <w:rPr>
          <w:rFonts w:ascii="Arial" w:cs="Arial" w:eastAsia="Arial" w:hAnsi="Arial"/>
          <w:sz w:val="18"/>
          <w:szCs w:val="18"/>
          <w:color w:val="auto"/>
        </w:rPr>
      </w:pPr>
    </w:p>
    <w:p>
      <w:pPr>
        <w:spacing w:after="0" w:line="301" w:lineRule="auto"/>
        <w:rPr>
          <w:sz w:val="20"/>
          <w:szCs w:val="20"/>
          <w:color w:val="auto"/>
        </w:rPr>
      </w:pPr>
      <w:r>
        <w:rPr>
          <w:rFonts w:ascii="Arial" w:cs="Arial" w:eastAsia="Arial" w:hAnsi="Arial"/>
          <w:sz w:val="16"/>
          <w:szCs w:val="16"/>
          <w:b w:val="1"/>
          <w:bCs w:val="1"/>
          <w:color w:val="auto"/>
        </w:rPr>
        <w:t>Exhibit Number</w:t>
      </w:r>
    </w:p>
    <w:p>
      <w:pPr>
        <w:spacing w:after="0" w:line="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4.1</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4.2</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4.4**</w:t>
      </w:r>
    </w:p>
    <w:p>
      <w:pPr>
        <w:spacing w:after="0" w:line="2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5.1**</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23.2**</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24.1**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4" w:lineRule="auto"/>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29"/>
            <w:szCs w:val="29"/>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Certificate of Correction of the Company, dated April 30, 2018</w:t>
        </w:r>
        <w:r>
          <w:rPr>
            <w:rFonts w:ascii="Arial" w:cs="Arial" w:eastAsia="Arial" w:hAnsi="Arial"/>
            <w:sz w:val="29"/>
            <w:szCs w:val="29"/>
            <w:u w:val="single" w:color="auto"/>
            <w:color w:val="0000EE"/>
            <w:vertAlign w:val="superscript"/>
          </w:rPr>
          <w:t>3</w:t>
        </w:r>
      </w:hyperlink>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Fifth Amended and Restated 2013 Equity Incentive Plan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4445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Doney Law Firm Opinion and consent to use</w:t>
        </w:r>
      </w:hyperlink>
    </w:p>
    <w:p>
      <w:pPr>
        <w:spacing w:after="0" w:line="9"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Consent of UHY LLP</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Marcum LLP</w:t>
        </w:r>
      </w:hyperlink>
    </w:p>
    <w:p>
      <w:pPr>
        <w:spacing w:after="0" w:line="9" w:lineRule="exact"/>
        <w:rPr>
          <w:rFonts w:ascii="Arial" w:cs="Arial" w:eastAsia="Arial" w:hAnsi="Arial"/>
          <w:sz w:val="18"/>
          <w:szCs w:val="18"/>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Power of Attorney (included on the signature page of this registration statement).</w:t>
        </w:r>
      </w:hyperlink>
    </w:p>
    <w:p>
      <w:pPr>
        <w:spacing w:after="0" w:line="153" w:lineRule="exact"/>
        <w:rPr>
          <w:rFonts w:ascii="Arial" w:cs="Arial" w:eastAsia="Arial" w:hAnsi="Arial"/>
          <w:sz w:val="18"/>
          <w:szCs w:val="18"/>
          <w:color w:val="auto"/>
        </w:rPr>
      </w:pPr>
    </w:p>
    <w:p>
      <w:pPr>
        <w:sectPr>
          <w:pgSz w:w="11900" w:h="16838" w:orient="portrait"/>
          <w:cols w:equalWidth="0" w:num="2">
            <w:col w:w="640" w:space="500"/>
            <w:col w:w="10000"/>
          </w:cols>
          <w:pgMar w:left="320" w:top="904" w:right="439" w:bottom="1440" w:gutter="0" w:footer="0" w:header="0"/>
          <w:type w:val="continuous"/>
        </w:sectPr>
      </w:pPr>
    </w:p>
    <w:p>
      <w:pPr>
        <w:ind w:left="340" w:hanging="332"/>
        <w:spacing w:after="0"/>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July 16, 2010.</w:t>
      </w:r>
    </w:p>
    <w:p>
      <w:pPr>
        <w:spacing w:after="0" w:line="2" w:lineRule="exact"/>
        <w:rPr>
          <w:rFonts w:ascii="Arial" w:cs="Arial" w:eastAsia="Arial" w:hAnsi="Arial"/>
          <w:sz w:val="18"/>
          <w:szCs w:val="18"/>
          <w:color w:val="auto"/>
        </w:rPr>
      </w:pPr>
    </w:p>
    <w:p>
      <w:pPr>
        <w:ind w:right="1140" w:firstLine="8"/>
        <w:spacing w:after="0" w:line="349" w:lineRule="auto"/>
        <w:tabs>
          <w:tab w:leader="none" w:pos="324"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10-K, filed by the Company with the Securities and Exchange Commission on March 12, 2019, ** provided herewith</w:t>
      </w:r>
    </w:p>
    <w:p>
      <w:pPr>
        <w:spacing w:after="0" w:line="25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22"/>
          <w:szCs w:val="22"/>
          <w:color w:val="auto"/>
        </w:rPr>
        <w:t>II-1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 as amended;</w:t>
      </w:r>
    </w:p>
    <w:p>
      <w:pPr>
        <w:spacing w:after="0" w:line="225" w:lineRule="exact"/>
        <w:rPr>
          <w:rFonts w:ascii="Arial" w:cs="Arial" w:eastAsia="Arial" w:hAnsi="Arial"/>
          <w:sz w:val="18"/>
          <w:szCs w:val="18"/>
          <w:color w:val="auto"/>
        </w:rPr>
      </w:pPr>
    </w:p>
    <w:p>
      <w:pPr>
        <w:ind w:firstLine="8"/>
        <w:spacing w:after="0" w:line="29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40" w:firstLine="8"/>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right="80" w:firstLine="656"/>
        <w:spacing w:after="0" w:line="263"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60" w:firstLine="656"/>
        <w:spacing w:after="0" w:line="277"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determining liability under the Securities Act of 1933 to any purchaser:</w:t>
      </w:r>
    </w:p>
    <w:p>
      <w:pPr>
        <w:spacing w:after="0" w:line="225" w:lineRule="exact"/>
        <w:rPr>
          <w:sz w:val="20"/>
          <w:szCs w:val="20"/>
          <w:color w:val="auto"/>
        </w:rPr>
      </w:pPr>
    </w:p>
    <w:p>
      <w:pPr>
        <w:ind w:right="160" w:firstLine="8"/>
        <w:spacing w:after="0" w:line="254"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4" w:lineRule="exact"/>
        <w:rPr>
          <w:rFonts w:ascii="Arial" w:cs="Arial" w:eastAsia="Arial" w:hAnsi="Arial"/>
          <w:sz w:val="18"/>
          <w:szCs w:val="18"/>
          <w:color w:val="auto"/>
        </w:rPr>
      </w:pPr>
    </w:p>
    <w:p>
      <w:pPr>
        <w:ind w:left="920" w:hanging="264"/>
        <w:spacing w:after="0"/>
        <w:tabs>
          <w:tab w:leader="none" w:pos="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380" w:firstLine="8"/>
        <w:spacing w:after="0" w:line="277"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680" w:firstLine="8"/>
        <w:spacing w:after="0" w:line="277"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24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accordance with the requirements of the Securities Act of 1933, the registrant certifies that it has reasonable grounds to believe that it meets all of the requirements to a filing on Form S-8 and authorized this filing to be signed on its behalf by the undersigned, thereunto duly authorized, in the City of Rochester, Michigan on March 29,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 (Principal Executive Officer)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KNOW ALL MEN BY THESE PRESENTS, that the undersigned officers and directors of the Company, hereby constitute and appoint William Febbo and Doug Baker and each of them, the true and lawful agents and attorneys-in-fact of the undersigned with full power and authority in said agents and attorneys-in-fact, and in any one or more of them, to sign for the undersigned and in their respective names as an officer/director of the Company, a registration statement on Form S-8 (or other appropriate form) relating to the offer and sale of common stock of the Company pursuant to the Plans (or any and all amendments, including post-effective amendments, to such registration statement) and file the same, with all exhibits thereto and other documents in connection therewith, with the Securities and Exchange Commission, and with full power of substitution; hereby ratifying and confirming all that each of said attorneys-in-fact, or his substitute or substitutes, may do or cause to be done by virtue hereof.</w:t>
      </w:r>
    </w:p>
    <w:p>
      <w:pPr>
        <w:spacing w:after="0" w:line="1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c>
          <w:tcPr>
            <w:tcW w:w="47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William Febbo</w:t>
            </w:r>
          </w:p>
        </w:tc>
        <w:tc>
          <w:tcPr>
            <w:tcW w:w="4780" w:type="dxa"/>
            <w:vAlign w:val="bottom"/>
          </w:tcPr>
          <w:p>
            <w:pPr>
              <w:ind w:left="120"/>
              <w:spacing w:after="0" w:line="203" w:lineRule="exact"/>
              <w:rPr>
                <w:sz w:val="20"/>
                <w:szCs w:val="20"/>
                <w:color w:val="auto"/>
              </w:rPr>
            </w:pPr>
            <w:r>
              <w:rPr>
                <w:rFonts w:ascii="Arial" w:cs="Arial" w:eastAsia="Arial" w:hAnsi="Arial"/>
                <w:sz w:val="18"/>
                <w:szCs w:val="18"/>
                <w:color w:val="auto"/>
              </w:rPr>
              <w:t>(Principal Executive Officer) and Director</w:t>
            </w: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c>
          <w:tcPr>
            <w:tcW w:w="47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Doug Baker</w:t>
            </w:r>
          </w:p>
        </w:tc>
        <w:tc>
          <w:tcPr>
            <w:tcW w:w="4780" w:type="dxa"/>
            <w:vAlign w:val="bottom"/>
          </w:tcPr>
          <w:p>
            <w:pPr>
              <w:ind w:left="12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Lynn Vos</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Patrick Spangler</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James Lang</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Gus D. Halas</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Wasson</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March 29, 2021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Greg Wasson</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41"/>
        </w:trPr>
        <w:tc>
          <w:tcPr>
            <w:tcW w:w="27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II-3</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purpose of the Fifth Amended and Restated OptimizeRx Corp. 2013 Incentive Plan (the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in the Plan have the meanings set forth in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Administration of the Plan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nothing in this Plan requires the Board to have a Compensation Committee.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Delegation</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Administration and Interpretation by Committee</w:t>
      </w:r>
    </w:p>
    <w:p>
      <w:pPr>
        <w:spacing w:after="0" w:line="225" w:lineRule="exact"/>
        <w:rPr>
          <w:sz w:val="20"/>
          <w:szCs w:val="20"/>
          <w:color w:val="auto"/>
        </w:rPr>
      </w:pPr>
    </w:p>
    <w:p>
      <w:pPr>
        <w:ind w:left="340" w:right="100" w:firstLine="316"/>
        <w:spacing w:after="0" w:line="263" w:lineRule="auto"/>
        <w:tabs>
          <w:tab w:leader="none" w:pos="9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183" w:lineRule="exact"/>
        <w:rPr>
          <w:rFonts w:ascii="Arial" w:cs="Arial" w:eastAsia="Arial" w:hAnsi="Arial"/>
          <w:sz w:val="18"/>
          <w:szCs w:val="18"/>
          <w:color w:val="auto"/>
        </w:rPr>
      </w:pPr>
    </w:p>
    <w:p>
      <w:pPr>
        <w:ind w:left="1200" w:hanging="220"/>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select the Eligible Persons to whom Awards may from time to time be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 under the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determine the number of shares of Common Stock, if any, to be covered by each Award granted under the Plan;</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approve the forms of notice or agreement for use under the Plan;</w:t>
      </w:r>
    </w:p>
    <w:p>
      <w:pPr>
        <w:spacing w:after="0" w:line="225" w:lineRule="exact"/>
        <w:rPr>
          <w:rFonts w:ascii="Arial" w:cs="Arial" w:eastAsia="Arial" w:hAnsi="Arial"/>
          <w:sz w:val="18"/>
          <w:szCs w:val="18"/>
          <w:color w:val="auto"/>
        </w:rPr>
      </w:pPr>
    </w:p>
    <w:p>
      <w:pPr>
        <w:ind w:left="660" w:right="560" w:firstLine="320"/>
        <w:spacing w:after="0" w:line="277" w:lineRule="auto"/>
        <w:tabs>
          <w:tab w:leader="none" w:pos="12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in cash, shares of Common Stock or other property or canceled or suspended;</w:t>
      </w:r>
    </w:p>
    <w:p>
      <w:pPr>
        <w:spacing w:after="0" w:line="170" w:lineRule="exact"/>
        <w:rPr>
          <w:rFonts w:ascii="Arial" w:cs="Arial" w:eastAsia="Arial" w:hAnsi="Arial"/>
          <w:sz w:val="18"/>
          <w:szCs w:val="18"/>
          <w:color w:val="auto"/>
        </w:rPr>
      </w:pPr>
    </w:p>
    <w:p>
      <w:pPr>
        <w:ind w:left="660" w:right="480" w:firstLine="320"/>
        <w:spacing w:after="0" w:line="277" w:lineRule="auto"/>
        <w:tabs>
          <w:tab w:leader="none" w:pos="13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interpret and administer the Plan and any instrument evidencing an Award, notice or agreement executed or entered into under the Plan;</w:t>
      </w:r>
    </w:p>
    <w:p>
      <w:pPr>
        <w:spacing w:after="0" w:line="248" w:lineRule="exact"/>
        <w:rPr>
          <w:rFonts w:ascii="Arial" w:cs="Arial" w:eastAsia="Arial" w:hAnsi="Arial"/>
          <w:sz w:val="16"/>
          <w:szCs w:val="16"/>
          <w:color w:val="auto"/>
        </w:rPr>
      </w:pPr>
    </w:p>
    <w:p>
      <w:pPr>
        <w:ind w:left="1280" w:hanging="300"/>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establish such rules and regulations as it shall deem appropriate for the proper administration of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delegate ministerial duties to such of the Company’s employees as it so determines; and</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administration of the Plan.</w:t>
      </w:r>
    </w:p>
    <w:p>
      <w:pPr>
        <w:spacing w:after="0" w:line="248" w:lineRule="exact"/>
        <w:rPr>
          <w:rFonts w:ascii="Arial" w:cs="Arial" w:eastAsia="Arial" w:hAnsi="Arial"/>
          <w:sz w:val="16"/>
          <w:szCs w:val="16"/>
          <w:color w:val="auto"/>
        </w:rPr>
      </w:pPr>
    </w:p>
    <w:p>
      <w:pPr>
        <w:ind w:left="340" w:firstLine="316"/>
        <w:spacing w:after="0" w:line="263" w:lineRule="auto"/>
        <w:tabs>
          <w:tab w:leader="none" w:pos="9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83" w:lineRule="exact"/>
        <w:rPr>
          <w:rFonts w:ascii="Arial" w:cs="Arial" w:eastAsia="Arial" w:hAnsi="Arial"/>
          <w:sz w:val="18"/>
          <w:szCs w:val="18"/>
          <w:color w:val="auto"/>
        </w:rPr>
      </w:pPr>
    </w:p>
    <w:p>
      <w:pPr>
        <w:ind w:left="340" w:right="40" w:firstLine="316"/>
        <w:spacing w:after="0" w:line="263" w:lineRule="auto"/>
        <w:tabs>
          <w:tab w:leader="none" w:pos="9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83" w:lineRule="exact"/>
        <w:rPr>
          <w:rFonts w:ascii="Arial" w:cs="Arial" w:eastAsia="Arial" w:hAnsi="Arial"/>
          <w:sz w:val="18"/>
          <w:szCs w:val="18"/>
          <w:color w:val="auto"/>
        </w:rPr>
      </w:pPr>
    </w:p>
    <w:p>
      <w:pPr>
        <w:ind w:left="340" w:right="60" w:firstLine="316"/>
        <w:spacing w:after="0" w:line="277" w:lineRule="auto"/>
        <w:tabs>
          <w:tab w:leader="none" w:pos="9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SECTION 4. SHARES SUBJECT TO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Authorized Number of Shares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Company’s Fourth Amended and Restated 2013 Incentive Plan, the Company reserved a maximum of 3,000,000 shares of Common Stock available for issuance under the Plan. Subject to further adjustment from time to time as provided in subsection 15.1, the Company shall now have a maximum of 6,000,000 shares of Common Stock available for issuance under the Plan. Shares issued under the Plan shall be drawn from authorized and unissued shares or shares now held or subsequently acquired by the Company as treasury shares.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Usage</w:t>
      </w:r>
    </w:p>
    <w:p>
      <w:pPr>
        <w:spacing w:after="0" w:line="225" w:lineRule="exact"/>
        <w:rPr>
          <w:sz w:val="20"/>
          <w:szCs w:val="20"/>
          <w:color w:val="auto"/>
        </w:rPr>
      </w:pPr>
    </w:p>
    <w:p>
      <w:pPr>
        <w:ind w:left="340" w:right="160" w:firstLine="316"/>
        <w:spacing w:after="0" w:line="279" w:lineRule="auto"/>
        <w:tabs>
          <w:tab w:leader="none" w:pos="9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71" w:lineRule="exact"/>
        <w:rPr>
          <w:rFonts w:ascii="Arial" w:cs="Arial" w:eastAsia="Arial" w:hAnsi="Arial"/>
          <w:sz w:val="17"/>
          <w:szCs w:val="17"/>
          <w:color w:val="auto"/>
        </w:rPr>
      </w:pPr>
    </w:p>
    <w:p>
      <w:pPr>
        <w:ind w:left="660" w:right="240" w:firstLine="320"/>
        <w:spacing w:after="0" w:line="277"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tendered by a Participant or retained by the Company as full or partial payment to the Company for the purchase price of an Award or to satisfy tax withholding obligations in connection with an Award, or</w:t>
      </w:r>
    </w:p>
    <w:p>
      <w:pPr>
        <w:spacing w:after="0" w:line="170" w:lineRule="exact"/>
        <w:rPr>
          <w:rFonts w:ascii="Arial" w:cs="Arial" w:eastAsia="Arial" w:hAnsi="Arial"/>
          <w:sz w:val="18"/>
          <w:szCs w:val="18"/>
          <w:color w:val="auto"/>
        </w:rPr>
      </w:pPr>
    </w:p>
    <w:p>
      <w:pPr>
        <w:ind w:left="660" w:right="60" w:firstLine="320"/>
        <w:spacing w:after="0" w:line="277" w:lineRule="auto"/>
        <w:tabs>
          <w:tab w:leader="none" w:pos="12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covered by an Award that is settled in cash, or in a manner such that some or all of the shares of Common Stock covered by the Award are not issued,</w:t>
      </w:r>
    </w:p>
    <w:p>
      <w:pPr>
        <w:spacing w:after="0" w:line="170"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84" w:lineRule="exact"/>
        <w:rPr>
          <w:sz w:val="20"/>
          <w:szCs w:val="20"/>
          <w:color w:val="auto"/>
        </w:rPr>
      </w:pPr>
    </w:p>
    <w:p>
      <w:pPr>
        <w:ind w:left="340" w:right="280" w:firstLine="316"/>
        <w:spacing w:after="0" w:line="277" w:lineRule="auto"/>
        <w:tabs>
          <w:tab w:leader="none" w:pos="9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70" w:lineRule="exact"/>
        <w:rPr>
          <w:rFonts w:ascii="Arial" w:cs="Arial" w:eastAsia="Arial" w:hAnsi="Arial"/>
          <w:sz w:val="18"/>
          <w:szCs w:val="18"/>
          <w:color w:val="auto"/>
        </w:rPr>
      </w:pPr>
    </w:p>
    <w:p>
      <w:pPr>
        <w:ind w:left="340" w:firstLine="316"/>
        <w:spacing w:after="0" w:line="286" w:lineRule="auto"/>
        <w:tabs>
          <w:tab w:leader="none" w:pos="9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40" w:right="300" w:firstLine="316"/>
        <w:spacing w:after="0" w:line="342" w:lineRule="auto"/>
        <w:tabs>
          <w:tab w:leader="none" w:pos="9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84" w:lineRule="exact"/>
        <w:rPr>
          <w:sz w:val="20"/>
          <w:szCs w:val="20"/>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not in connection with the offer and sale of the Company’s securities in a capital-raising transaction,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directly or indirectly promote or maintain a market for the Company’s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Form, Grant and Settlement of Awards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Evidence of Awards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0" w:name="page11"/>
    <w:bookmarkEnd w:id="10"/>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Dividends and Distributions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Grant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grant Options designated as Incentive Stock Options or Nonqualified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Option Exercise Price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Term of Options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Subject to earlier termination in accordance with the terms of the Plan and the instrument evidencing the Option, the maximum term of a Nonqualified Stock Option shall be ten years from the Grant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Exercise of Options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Payment of Exercise Price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65"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or wire transfer;</w:t>
      </w:r>
    </w:p>
    <w:p>
      <w:pPr>
        <w:spacing w:after="0" w:line="225" w:lineRule="exact"/>
        <w:rPr>
          <w:rFonts w:ascii="Arial" w:cs="Arial" w:eastAsia="Arial" w:hAnsi="Arial"/>
          <w:sz w:val="18"/>
          <w:szCs w:val="18"/>
          <w:color w:val="auto"/>
        </w:rPr>
      </w:pPr>
    </w:p>
    <w:p>
      <w:pPr>
        <w:ind w:left="340" w:right="160" w:firstLine="316"/>
        <w:spacing w:after="0" w:line="277" w:lineRule="auto"/>
        <w:tabs>
          <w:tab w:leader="none" w:pos="9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70" w:lineRule="exact"/>
        <w:rPr>
          <w:rFonts w:ascii="Arial" w:cs="Arial" w:eastAsia="Arial" w:hAnsi="Arial"/>
          <w:sz w:val="18"/>
          <w:szCs w:val="18"/>
          <w:color w:val="auto"/>
        </w:rPr>
      </w:pPr>
    </w:p>
    <w:p>
      <w:pPr>
        <w:ind w:left="340" w:right="160" w:firstLine="316"/>
        <w:spacing w:after="0" w:line="263" w:lineRule="auto"/>
        <w:tabs>
          <w:tab w:leader="none" w:pos="9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83" w:lineRule="exact"/>
        <w:rPr>
          <w:rFonts w:ascii="Arial" w:cs="Arial" w:eastAsia="Arial" w:hAnsi="Arial"/>
          <w:sz w:val="18"/>
          <w:szCs w:val="18"/>
          <w:color w:val="auto"/>
        </w:rPr>
      </w:pPr>
    </w:p>
    <w:p>
      <w:pPr>
        <w:ind w:left="340" w:right="80" w:firstLine="316"/>
        <w:spacing w:after="0" w:line="279" w:lineRule="auto"/>
        <w:tabs>
          <w:tab w:leader="none" w:pos="90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71" w:lineRule="exact"/>
        <w:rPr>
          <w:rFonts w:ascii="Arial" w:cs="Arial" w:eastAsia="Arial" w:hAnsi="Arial"/>
          <w:sz w:val="17"/>
          <w:szCs w:val="17"/>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consideration as the Committee may permit.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Effect of Termination of Service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87"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portion of an Option that is not vested and exercisable on the date of a Participant’s Termination of Service shall expire on such date.</w:t>
      </w:r>
    </w:p>
    <w:p>
      <w:pPr>
        <w:spacing w:after="0" w:line="248" w:lineRule="exact"/>
        <w:rPr>
          <w:rFonts w:ascii="Arial" w:cs="Arial" w:eastAsia="Arial" w:hAnsi="Arial"/>
          <w:sz w:val="16"/>
          <w:szCs w:val="16"/>
          <w:color w:val="auto"/>
        </w:rPr>
      </w:pPr>
    </w:p>
    <w:p>
      <w:pPr>
        <w:ind w:left="340" w:right="420" w:firstLine="316"/>
        <w:spacing w:after="0" w:line="277" w:lineRule="auto"/>
        <w:tabs>
          <w:tab w:leader="none" w:pos="9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date of a Participant’s Termination of Service shall expire on the earliest to occur of:</w:t>
      </w:r>
    </w:p>
    <w:p>
      <w:pPr>
        <w:spacing w:after="0" w:line="170" w:lineRule="exact"/>
        <w:rPr>
          <w:rFonts w:ascii="Arial" w:cs="Arial" w:eastAsia="Arial" w:hAnsi="Arial"/>
          <w:sz w:val="18"/>
          <w:szCs w:val="18"/>
          <w:color w:val="auto"/>
        </w:rPr>
      </w:pPr>
    </w:p>
    <w:p>
      <w:pPr>
        <w:ind w:left="660" w:right="540" w:firstLine="320"/>
        <w:spacing w:after="0" w:line="277" w:lineRule="auto"/>
        <w:tabs>
          <w:tab w:leader="none" w:pos="11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for reasons other than Cause, Retirement, Disability or death, the date that is three months after such Termination of Service;</w:t>
      </w:r>
    </w:p>
    <w:p>
      <w:pPr>
        <w:spacing w:after="0" w:line="170" w:lineRule="exact"/>
        <w:rPr>
          <w:rFonts w:ascii="Arial" w:cs="Arial" w:eastAsia="Arial" w:hAnsi="Arial"/>
          <w:sz w:val="18"/>
          <w:szCs w:val="18"/>
          <w:color w:val="auto"/>
        </w:rPr>
      </w:pPr>
    </w:p>
    <w:p>
      <w:pPr>
        <w:ind w:left="660" w:right="800" w:firstLine="320"/>
        <w:spacing w:after="0" w:line="277" w:lineRule="auto"/>
        <w:tabs>
          <w:tab w:leader="none" w:pos="12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by reason of Retirement, Disability or death, the one-year anniversary of such Termination of Service;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Option Expiration Date.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left="340"/>
        <w:spacing w:after="0" w:line="290" w:lineRule="auto"/>
        <w:rPr>
          <w:sz w:val="20"/>
          <w:szCs w:val="20"/>
          <w:color w:val="auto"/>
        </w:rPr>
      </w:pPr>
      <w:r>
        <w:rPr>
          <w:rFonts w:ascii="Arial" w:cs="Arial" w:eastAsia="Arial" w:hAnsi="Arial"/>
          <w:sz w:val="16"/>
          <w:szCs w:val="16"/>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65" w:lineRule="exact"/>
        <w:rPr>
          <w:sz w:val="20"/>
          <w:szCs w:val="20"/>
          <w:color w:val="auto"/>
        </w:rPr>
      </w:pPr>
    </w:p>
    <w:p>
      <w:pPr>
        <w:ind w:left="340" w:right="20" w:firstLine="316"/>
        <w:spacing w:after="0" w:line="296" w:lineRule="auto"/>
        <w:tabs>
          <w:tab w:leader="none" w:pos="9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Dollar Limitation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Eligible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are not employees of the Company or one of its parent or subsidiary corporations may not be granted Incentive Stock Options.</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Exercise Price</w:t>
      </w:r>
    </w:p>
    <w:p>
      <w:pPr>
        <w:spacing w:after="0" w:line="22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Option Term</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Exercisability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Taxation of Incentive Stock Options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Code Definitions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purposes of this Section, “disability” “parent corporation” and “subsidiary corporation” shall have the meanings attributed to those terms for purposes of Section 422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 of Stock Appreciation Rights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Payment of SAR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an SAR, a Participant shall be entitled to receive payment in an amount determined by multiplying:</w:t>
      </w:r>
    </w:p>
    <w:p>
      <w:pPr>
        <w:spacing w:after="0" w:line="225"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Common Stock on the date of exercise over the grant price of the SAR by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AWARDS, RESTRICTED STOCK AND STOCK UNITS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Grant of Stock Awards, Restricted Stock and Stock Units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of Restricted Stock and Stock Units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24"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of Restricted Stock covered by each Award of Restricted Stock shall become freely transferable by the Participant, and</w:t>
      </w:r>
    </w:p>
    <w:p>
      <w:pPr>
        <w:spacing w:after="0" w:line="225" w:lineRule="exact"/>
        <w:rPr>
          <w:rFonts w:ascii="Arial" w:cs="Arial" w:eastAsia="Arial" w:hAnsi="Arial"/>
          <w:sz w:val="18"/>
          <w:szCs w:val="18"/>
          <w:color w:val="auto"/>
        </w:rPr>
      </w:pPr>
    </w:p>
    <w:p>
      <w:pPr>
        <w:ind w:left="340" w:right="80" w:firstLine="316"/>
        <w:spacing w:after="0" w:line="277" w:lineRule="auto"/>
        <w:tabs>
          <w:tab w:leader="none" w:pos="9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Units shall be paid in shares of Common Stock or, if set forth in the instrument evidencing the Awards, in cash or a combination of cash and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fractional shares subject to such Awards shall be paid to the Participant in cash.</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SECTION 11. PERFORMANCE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Performance Shares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Performance Units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 OR CASH-BASED AWARDS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Subject to the terms of the Plan and such other terms and conditions as the Committee deems appropriate, the Committee may grant other incentives payable in cash or in shares of Common Stock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require the Participant to pay to the Company the amount of:</w:t>
      </w:r>
    </w:p>
    <w:p>
      <w:pPr>
        <w:spacing w:after="0" w:line="225" w:lineRule="exact"/>
        <w:rPr>
          <w:sz w:val="20"/>
          <w:szCs w:val="20"/>
          <w:color w:val="auto"/>
        </w:rPr>
      </w:pPr>
    </w:p>
    <w:p>
      <w:pPr>
        <w:ind w:left="340" w:right="540" w:firstLine="316"/>
        <w:spacing w:after="0" w:line="277" w:lineRule="auto"/>
        <w:tabs>
          <w:tab w:leader="none" w:pos="9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taxes that the Company is required by applicable federal, state, local or foreign law to withhold with respect to the grant, vesting or exercise of an Award (“tax withholding obligations”);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amounts due from the Participant to the Company or to any Related Company (“other obligations”).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6" w:name="page17"/>
    <w:bookmarkEnd w:id="16"/>
    <w:p>
      <w:pPr>
        <w:ind w:right="160"/>
        <w:spacing w:after="0" w:line="263" w:lineRule="auto"/>
        <w:rPr>
          <w:sz w:val="20"/>
          <w:szCs w:val="20"/>
          <w:color w:val="auto"/>
        </w:rPr>
      </w:pPr>
      <w:r>
        <w:rPr>
          <w:rFonts w:ascii="Arial" w:cs="Arial" w:eastAsia="Arial" w:hAnsi="Arial"/>
          <w:sz w:val="18"/>
          <w:szCs w:val="18"/>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84" w:lineRule="exact"/>
        <w:rPr>
          <w:sz w:val="20"/>
          <w:szCs w:val="20"/>
          <w:color w:val="auto"/>
        </w:rPr>
      </w:pPr>
    </w:p>
    <w:p>
      <w:pPr>
        <w:ind w:left="1200" w:hanging="220"/>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paying cash to the Company,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having the Company withhold an amount from any cash amounts otherwise due or to become due from the Company to the Participant,</w:t>
      </w:r>
    </w:p>
    <w:p>
      <w:pPr>
        <w:spacing w:after="0" w:line="248" w:lineRule="exact"/>
        <w:rPr>
          <w:rFonts w:ascii="Arial" w:cs="Arial" w:eastAsia="Arial" w:hAnsi="Arial"/>
          <w:sz w:val="16"/>
          <w:szCs w:val="16"/>
          <w:color w:val="auto"/>
        </w:rPr>
      </w:pPr>
    </w:p>
    <w:p>
      <w:pPr>
        <w:ind w:left="660" w:right="40" w:firstLine="320"/>
        <w:spacing w:after="0" w:line="308" w:lineRule="auto"/>
        <w:tabs>
          <w:tab w:leader="none" w:pos="1299"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46" w:lineRule="exact"/>
        <w:rPr>
          <w:rFonts w:ascii="Arial" w:cs="Arial" w:eastAsia="Arial" w:hAnsi="Arial"/>
          <w:sz w:val="17"/>
          <w:szCs w:val="17"/>
          <w:color w:val="auto"/>
        </w:rPr>
      </w:pPr>
    </w:p>
    <w:p>
      <w:pPr>
        <w:ind w:left="660" w:right="180" w:firstLine="320"/>
        <w:spacing w:after="0" w:line="277" w:lineRule="auto"/>
        <w:tabs>
          <w:tab w:leader="none" w:pos="12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surrendering a number of shares of Common Stock the Participant already owns having a value equal to the tax withholding obligations and other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shares so withheld or tendered may not exceed the employer’s minimum required tax withholding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ASSIGNABILITY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ADJUSTMENTS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Adjustment of Shares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24" w:lineRule="exact"/>
        <w:rPr>
          <w:sz w:val="20"/>
          <w:szCs w:val="20"/>
          <w:color w:val="auto"/>
        </w:rPr>
      </w:pPr>
    </w:p>
    <w:p>
      <w:pPr>
        <w:ind w:left="340" w:right="500" w:firstLine="316"/>
        <w:spacing w:after="0" w:line="277" w:lineRule="auto"/>
        <w:tabs>
          <w:tab w:leader="none" w:pos="9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shares of Common Stock, or any securities exchanged therefor or received in their place, being exchanged for a different number or kind of securities of the Company or</w:t>
      </w:r>
    </w:p>
    <w:p>
      <w:pPr>
        <w:spacing w:after="0" w:line="170" w:lineRule="exact"/>
        <w:rPr>
          <w:rFonts w:ascii="Arial" w:cs="Arial" w:eastAsia="Arial" w:hAnsi="Arial"/>
          <w:sz w:val="18"/>
          <w:szCs w:val="18"/>
          <w:color w:val="auto"/>
        </w:rPr>
      </w:pPr>
    </w:p>
    <w:p>
      <w:pPr>
        <w:ind w:right="560" w:firstLine="656"/>
        <w:spacing w:after="0" w:line="500" w:lineRule="auto"/>
        <w:tabs>
          <w:tab w:leader="none" w:pos="9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different or additional securities of the Company or any other company being received by the holders of shares of Common Stock, then the Committee shall make proportional adjustments in</w:t>
      </w:r>
    </w:p>
    <w:p>
      <w:pPr>
        <w:spacing w:after="0" w:line="1" w:lineRule="exact"/>
        <w:rPr>
          <w:rFonts w:ascii="Arial" w:cs="Arial" w:eastAsia="Arial" w:hAnsi="Arial"/>
          <w:sz w:val="18"/>
          <w:szCs w:val="18"/>
          <w:color w:val="auto"/>
        </w:rPr>
      </w:pPr>
    </w:p>
    <w:p>
      <w:pPr>
        <w:ind w:left="1200" w:hanging="220"/>
        <w:spacing w:after="0"/>
        <w:tabs>
          <w:tab w:leader="none" w:pos="12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maximum number and kind of securities available for issuance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maximum number and kind of securities issuable as Incentive Stock Options as set forth in subsection 4.2; and</w:t>
      </w:r>
    </w:p>
    <w:p>
      <w:pPr>
        <w:spacing w:after="0" w:line="225" w:lineRule="exact"/>
        <w:rPr>
          <w:rFonts w:ascii="Arial" w:cs="Arial" w:eastAsia="Arial" w:hAnsi="Arial"/>
          <w:sz w:val="18"/>
          <w:szCs w:val="18"/>
          <w:color w:val="auto"/>
        </w:rPr>
      </w:pPr>
    </w:p>
    <w:p>
      <w:pPr>
        <w:ind w:left="660" w:right="40" w:firstLine="320"/>
        <w:spacing w:after="0" w:line="277" w:lineRule="auto"/>
        <w:tabs>
          <w:tab w:leader="none" w:pos="129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number and kind of securities that are subject to any outstanding Award and the per share price of such securities, without any change in the aggregate price to be paid therefor.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100"/>
        <w:spacing w:after="0" w:line="273" w:lineRule="auto"/>
        <w:rPr>
          <w:sz w:val="20"/>
          <w:szCs w:val="20"/>
          <w:color w:val="auto"/>
        </w:rPr>
      </w:pPr>
      <w:r>
        <w:rPr>
          <w:rFonts w:ascii="Arial" w:cs="Arial" w:eastAsia="Arial" w:hAnsi="Arial"/>
          <w:sz w:val="17"/>
          <w:szCs w:val="17"/>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Dissolution or Liquidation</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Change in Control</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24" w:lineRule="exact"/>
        <w:rPr>
          <w:sz w:val="20"/>
          <w:szCs w:val="20"/>
          <w:color w:val="auto"/>
        </w:rPr>
      </w:pPr>
    </w:p>
    <w:p>
      <w:pPr>
        <w:ind w:left="340" w:firstLine="316"/>
        <w:spacing w:after="0" w:line="286" w:lineRule="auto"/>
        <w:tabs>
          <w:tab w:leader="none" w:pos="9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340" w:firstLine="316"/>
        <w:spacing w:after="0" w:line="255" w:lineRule="auto"/>
        <w:tabs>
          <w:tab w:leader="none" w:pos="9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192" w:lineRule="exact"/>
        <w:rPr>
          <w:rFonts w:ascii="Arial" w:cs="Arial" w:eastAsia="Arial" w:hAnsi="Arial"/>
          <w:sz w:val="18"/>
          <w:szCs w:val="18"/>
          <w:color w:val="auto"/>
        </w:rPr>
      </w:pPr>
    </w:p>
    <w:p>
      <w:pPr>
        <w:jc w:val="both"/>
        <w:ind w:left="340" w:right="480" w:firstLine="316"/>
        <w:spacing w:after="0" w:line="263" w:lineRule="auto"/>
        <w:tabs>
          <w:tab w:leader="none" w:pos="9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83" w:lineRule="exact"/>
        <w:rPr>
          <w:rFonts w:ascii="Arial" w:cs="Arial" w:eastAsia="Arial" w:hAnsi="Arial"/>
          <w:sz w:val="18"/>
          <w:szCs w:val="18"/>
          <w:color w:val="auto"/>
        </w:rPr>
      </w:pPr>
    </w:p>
    <w:p>
      <w:pPr>
        <w:ind w:left="1200" w:hanging="220"/>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adjustments to the Plan and outstanding Awards as contemplated by subsection 15.1 or</w:t>
      </w:r>
    </w:p>
    <w:p>
      <w:pPr>
        <w:spacing w:after="0" w:line="225" w:lineRule="exact"/>
        <w:rPr>
          <w:rFonts w:ascii="Arial" w:cs="Arial" w:eastAsia="Arial" w:hAnsi="Arial"/>
          <w:sz w:val="18"/>
          <w:szCs w:val="18"/>
          <w:color w:val="auto"/>
        </w:rPr>
      </w:pPr>
    </w:p>
    <w:p>
      <w:pPr>
        <w:ind w:left="660" w:right="20" w:firstLine="320"/>
        <w:spacing w:after="0" w:line="272" w:lineRule="auto"/>
        <w:tabs>
          <w:tab w:leader="none" w:pos="1249"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Further Adjustment of Awards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u w:val="single" w:color="auto"/>
          <w:color w:val="auto"/>
        </w:rPr>
        <w:t>No Limitations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Fractional Shares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u w:val="single" w:color="auto"/>
          <w:color w:val="auto"/>
        </w:rPr>
        <w:t>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in this Plan to the contrary,</w:t>
      </w:r>
    </w:p>
    <w:p>
      <w:pPr>
        <w:spacing w:after="0" w:line="225" w:lineRule="exact"/>
        <w:rPr>
          <w:sz w:val="20"/>
          <w:szCs w:val="20"/>
          <w:color w:val="auto"/>
        </w:rPr>
      </w:pPr>
    </w:p>
    <w:p>
      <w:pPr>
        <w:ind w:left="340" w:right="120" w:firstLine="316"/>
        <w:spacing w:after="0" w:line="308" w:lineRule="auto"/>
        <w:tabs>
          <w:tab w:leader="none" w:pos="9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46" w:lineRule="exact"/>
        <w:rPr>
          <w:rFonts w:ascii="Arial" w:cs="Arial" w:eastAsia="Arial" w:hAnsi="Arial"/>
          <w:sz w:val="17"/>
          <w:szCs w:val="17"/>
          <w:color w:val="auto"/>
        </w:rPr>
      </w:pPr>
    </w:p>
    <w:p>
      <w:pPr>
        <w:ind w:left="340" w:right="40" w:firstLine="316"/>
        <w:spacing w:after="0" w:line="277" w:lineRule="auto"/>
        <w:tabs>
          <w:tab w:leader="none" w:pos="9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adjustments made pursuant to this Section 15 or any other amendments to Awards that are not considered “deferred compensation” subject to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be made in such a manner as to ensure that after such adjustment or amendment the Awards either</w:t>
      </w:r>
    </w:p>
    <w:p>
      <w:pPr>
        <w:spacing w:after="0" w:line="225" w:lineRule="exact"/>
        <w:rPr>
          <w:sz w:val="20"/>
          <w:szCs w:val="20"/>
          <w:color w:val="auto"/>
        </w:rPr>
      </w:pPr>
    </w:p>
    <w:p>
      <w:pPr>
        <w:ind w:left="1200" w:hanging="220"/>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not to be subject to Section 409A of the Code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the requirements of Section 409A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MARKET STANDOFF</w:t>
      </w:r>
    </w:p>
    <w:p>
      <w:pPr>
        <w:spacing w:after="0" w:line="22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176"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180 days after the effective date of the registration statement for such public offering or</w:t>
      </w:r>
    </w:p>
    <w:p>
      <w:pPr>
        <w:spacing w:after="0" w:line="225" w:lineRule="exact"/>
        <w:rPr>
          <w:rFonts w:ascii="Arial" w:cs="Arial" w:eastAsia="Arial" w:hAnsi="Arial"/>
          <w:sz w:val="18"/>
          <w:szCs w:val="18"/>
          <w:color w:val="auto"/>
        </w:rPr>
      </w:pPr>
    </w:p>
    <w:p>
      <w:pPr>
        <w:ind w:left="340" w:right="280" w:firstLine="316"/>
        <w:spacing w:after="0" w:line="277" w:lineRule="auto"/>
        <w:tabs>
          <w:tab w:leader="none" w:pos="9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longer period requested by the underwriter as is necessary to comply with regulatory restrictions on the publication of research reports (including, but not limited to, NYSE Rule 472 or NASD Conduct Rule 2711).</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SECTION 17. AMENDMENT AND TERMINATION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Amendment, Suspension or Termination</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the Plan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65"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of the Plan by the Board and</w:t>
      </w:r>
    </w:p>
    <w:p>
      <w:pPr>
        <w:spacing w:after="0" w:line="225" w:lineRule="exact"/>
        <w:rPr>
          <w:rFonts w:ascii="Arial" w:cs="Arial" w:eastAsia="Arial" w:hAnsi="Arial"/>
          <w:sz w:val="18"/>
          <w:szCs w:val="18"/>
          <w:color w:val="auto"/>
        </w:rPr>
      </w:pPr>
    </w:p>
    <w:p>
      <w:pPr>
        <w:ind w:right="180" w:firstLine="656"/>
        <w:spacing w:after="0" w:line="500" w:lineRule="auto"/>
        <w:tabs>
          <w:tab w:leader="none" w:pos="9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adoption by the Board of any amendment to the Plan that constitutes the adoption of a new plan for purposes of Section 422 of the Code. 17.3 </w:t>
      </w:r>
      <w:r>
        <w:rPr>
          <w:rFonts w:ascii="Arial" w:cs="Arial" w:eastAsia="Arial" w:hAnsi="Arial"/>
          <w:sz w:val="18"/>
          <w:szCs w:val="18"/>
          <w:u w:val="single" w:color="auto"/>
          <w:color w:val="auto"/>
        </w:rPr>
        <w:t>Consent of Participant</w:t>
      </w:r>
    </w:p>
    <w:p>
      <w:pPr>
        <w:spacing w:after="0" w:line="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GENERAL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u w:val="single" w:color="auto"/>
          <w:color w:val="auto"/>
        </w:rPr>
        <w:t>No Individual Rights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u w:val="single" w:color="auto"/>
          <w:color w:val="auto"/>
        </w:rPr>
        <w:t>Issuance of Shares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92" w:lineRule="exact"/>
        <w:rPr>
          <w:sz w:val="20"/>
          <w:szCs w:val="20"/>
          <w:color w:val="auto"/>
        </w:rPr>
      </w:pPr>
    </w:p>
    <w:p>
      <w:pPr>
        <w:ind w:left="340" w:right="40" w:firstLine="316"/>
        <w:spacing w:after="0" w:line="277" w:lineRule="auto"/>
        <w:tabs>
          <w:tab w:leader="none" w:pos="9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other action or agreement by the Participant as may from time to time be necessary to comply with the federal, state and foreign securities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78" w:lineRule="exact"/>
        <w:rPr>
          <w:sz w:val="20"/>
          <w:szCs w:val="20"/>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loss, cost, liability or expense is a result of such person’s own willful misconduct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indemnification is expressly prohibited by statute.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ind w:right="500"/>
        <w:spacing w:after="0" w:line="263"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No Rights as a Stockholder</w:t>
      </w:r>
    </w:p>
    <w:p>
      <w:pPr>
        <w:spacing w:after="0" w:line="22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Compliance with Laws and Regulations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u w:val="single" w:color="auto"/>
          <w:color w:val="auto"/>
        </w:rPr>
        <w:t>Participants in Other Countries or Jurisdictions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spacing w:after="0"/>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u w:val="single" w:color="auto"/>
          <w:color w:val="auto"/>
        </w:rPr>
        <w:t>No Trust or Fund</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u w:val="single" w:color="auto"/>
          <w:color w:val="auto"/>
        </w:rPr>
        <w:t>Choice of Law and Venue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u w:val="single" w:color="auto"/>
          <w:color w:val="auto"/>
        </w:rPr>
        <w:t>Legal Requirements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EFFECTIVE DATE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340" w:right="600" w:hanging="323"/>
        <w:spacing w:after="0" w:line="277" w:lineRule="auto"/>
        <w:rPr>
          <w:sz w:val="20"/>
          <w:szCs w:val="20"/>
          <w:color w:val="auto"/>
        </w:rPr>
      </w:pPr>
      <w:r>
        <w:rPr>
          <w:rFonts w:ascii="Arial" w:cs="Arial" w:eastAsia="Arial" w:hAnsi="Arial"/>
          <w:sz w:val="18"/>
          <w:szCs w:val="18"/>
          <w:color w:val="auto"/>
        </w:rPr>
        <w:t>“Acquired Entity” means any entity acquired by the Company or a Related Company or with which the Company or a Related Company merges or combines.</w:t>
      </w:r>
    </w:p>
    <w:p>
      <w:pPr>
        <w:spacing w:after="0" w:line="170" w:lineRule="exact"/>
        <w:rPr>
          <w:sz w:val="20"/>
          <w:szCs w:val="20"/>
          <w:color w:val="auto"/>
        </w:rPr>
      </w:pPr>
    </w:p>
    <w:p>
      <w:pPr>
        <w:ind w:left="340" w:right="640" w:hanging="323"/>
        <w:spacing w:after="0" w:line="277" w:lineRule="auto"/>
        <w:rPr>
          <w:sz w:val="20"/>
          <w:szCs w:val="20"/>
          <w:color w:val="auto"/>
        </w:rPr>
      </w:pPr>
      <w:r>
        <w:rPr>
          <w:rFonts w:ascii="Arial" w:cs="Arial" w:eastAsia="Arial" w:hAnsi="Arial"/>
          <w:sz w:val="18"/>
          <w:szCs w:val="18"/>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left="340" w:right="60" w:hanging="323"/>
        <w:spacing w:after="0" w:line="257" w:lineRule="auto"/>
        <w:rPr>
          <w:sz w:val="20"/>
          <w:szCs w:val="20"/>
          <w:color w:val="auto"/>
        </w:rPr>
      </w:pPr>
      <w:r>
        <w:rPr>
          <w:rFonts w:ascii="Arial" w:cs="Arial" w:eastAsia="Arial" w:hAnsi="Arial"/>
          <w:sz w:val="18"/>
          <w:szCs w:val="18"/>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188"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84" w:lineRule="exact"/>
        <w:rPr>
          <w:sz w:val="20"/>
          <w:szCs w:val="20"/>
          <w:color w:val="auto"/>
        </w:rPr>
      </w:pPr>
    </w:p>
    <w:p>
      <w:pPr>
        <w:ind w:left="340" w:right="360" w:firstLine="316"/>
        <w:spacing w:after="0" w:line="308" w:lineRule="auto"/>
        <w:tabs>
          <w:tab w:leader="none" w:pos="9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46" w:lineRule="exact"/>
        <w:rPr>
          <w:rFonts w:ascii="Arial" w:cs="Arial" w:eastAsia="Arial" w:hAnsi="Arial"/>
          <w:sz w:val="17"/>
          <w:szCs w:val="17"/>
          <w:color w:val="auto"/>
        </w:rPr>
      </w:pPr>
    </w:p>
    <w:p>
      <w:pPr>
        <w:ind w:left="1200" w:hanging="220"/>
        <w:spacing w:after="0"/>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(the “Outstanding Common Stock”) or</w:t>
      </w:r>
    </w:p>
    <w:p>
      <w:pPr>
        <w:spacing w:after="0" w:line="225" w:lineRule="exact"/>
        <w:rPr>
          <w:rFonts w:ascii="Arial" w:cs="Arial" w:eastAsia="Arial" w:hAnsi="Arial"/>
          <w:sz w:val="18"/>
          <w:szCs w:val="18"/>
          <w:color w:val="auto"/>
        </w:rPr>
      </w:pPr>
    </w:p>
    <w:p>
      <w:pPr>
        <w:ind w:left="660" w:right="100" w:firstLine="320"/>
        <w:spacing w:after="0" w:line="277" w:lineRule="auto"/>
        <w:tabs>
          <w:tab w:leader="none" w:pos="12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Voting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however, the following:</w:t>
      </w:r>
    </w:p>
    <w:p>
      <w:pPr>
        <w:spacing w:after="0" w:line="225" w:lineRule="exact"/>
        <w:rPr>
          <w:sz w:val="20"/>
          <w:szCs w:val="20"/>
          <w:color w:val="auto"/>
        </w:rPr>
      </w:pPr>
    </w:p>
    <w:p>
      <w:pPr>
        <w:ind w:left="660" w:firstLine="320"/>
        <w:spacing w:after="0" w:line="277" w:lineRule="auto"/>
        <w:tabs>
          <w:tab w:leader="none" w:pos="12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225" w:lineRule="exact"/>
        <w:rPr>
          <w:rFonts w:ascii="Arial" w:cs="Arial" w:eastAsia="Arial" w:hAnsi="Arial"/>
          <w:sz w:val="18"/>
          <w:szCs w:val="18"/>
          <w:color w:val="auto"/>
        </w:rPr>
      </w:pPr>
    </w:p>
    <w:p>
      <w:pPr>
        <w:ind w:left="660" w:firstLine="320"/>
        <w:spacing w:after="0" w:line="277" w:lineRule="auto"/>
        <w:tabs>
          <w:tab w:leader="none" w:pos="1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acquisition by any Person pursuant to a transaction which complies with clauses (b)(i), (b)(ii) and (b)(iii) of the definition of Company Transaction; 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left="340" w:right="200" w:firstLine="316"/>
        <w:spacing w:after="0" w:line="270" w:lineRule="auto"/>
        <w:tabs>
          <w:tab w:leader="none" w:pos="919"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80" w:lineRule="exact"/>
        <w:rPr>
          <w:rFonts w:ascii="Arial" w:cs="Arial" w:eastAsia="Arial" w:hAnsi="Arial"/>
          <w:sz w:val="17"/>
          <w:szCs w:val="17"/>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Company Transaction; or</w:t>
      </w:r>
    </w:p>
    <w:p>
      <w:pPr>
        <w:spacing w:after="0" w:line="225" w:lineRule="exact"/>
        <w:rPr>
          <w:rFonts w:ascii="Arial" w:cs="Arial" w:eastAsia="Arial" w:hAnsi="Arial"/>
          <w:sz w:val="18"/>
          <w:szCs w:val="18"/>
          <w:color w:val="auto"/>
        </w:rPr>
      </w:pPr>
    </w:p>
    <w:p>
      <w:pPr>
        <w:ind w:left="340" w:firstLine="316"/>
        <w:spacing w:after="0" w:line="263" w:lineRule="auto"/>
        <w:tabs>
          <w:tab w:leader="none" w:pos="9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184"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means the consummation of</w:t>
      </w:r>
    </w:p>
    <w:p>
      <w:pPr>
        <w:spacing w:after="0" w:line="225"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or</w:t>
      </w:r>
    </w:p>
    <w:p>
      <w:pPr>
        <w:spacing w:after="0" w:line="225" w:lineRule="exact"/>
        <w:rPr>
          <w:rFonts w:ascii="Arial" w:cs="Arial" w:eastAsia="Arial" w:hAnsi="Arial"/>
          <w:sz w:val="18"/>
          <w:szCs w:val="18"/>
          <w:color w:val="auto"/>
        </w:rPr>
      </w:pPr>
    </w:p>
    <w:p>
      <w:pPr>
        <w:ind w:left="340" w:right="340" w:firstLine="316"/>
        <w:spacing w:after="0" w:line="277" w:lineRule="auto"/>
        <w:tabs>
          <w:tab w:leader="none" w:pos="9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direct and indirect subsidiaries taken as a whole, except in each case a transaction pursuant to which</w:t>
      </w:r>
    </w:p>
    <w:p>
      <w:pPr>
        <w:spacing w:after="0" w:line="170" w:lineRule="exact"/>
        <w:rPr>
          <w:rFonts w:ascii="Arial" w:cs="Arial" w:eastAsia="Arial" w:hAnsi="Arial"/>
          <w:sz w:val="18"/>
          <w:szCs w:val="18"/>
          <w:color w:val="auto"/>
        </w:rPr>
      </w:pPr>
    </w:p>
    <w:p>
      <w:pPr>
        <w:ind w:left="660" w:right="20" w:firstLine="320"/>
        <w:spacing w:after="0" w:line="272" w:lineRule="auto"/>
        <w:tabs>
          <w:tab w:leader="none" w:pos="119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177" w:lineRule="exact"/>
        <w:rPr>
          <w:rFonts w:ascii="Arial" w:cs="Arial" w:eastAsia="Arial" w:hAnsi="Arial"/>
          <w:sz w:val="17"/>
          <w:szCs w:val="17"/>
          <w:color w:val="auto"/>
        </w:rPr>
      </w:pPr>
    </w:p>
    <w:p>
      <w:pPr>
        <w:ind w:left="660" w:right="40" w:firstLine="320"/>
        <w:spacing w:after="0" w:line="259" w:lineRule="auto"/>
        <w:tabs>
          <w:tab w:leader="none" w:pos="1249"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left="660" w:right="220" w:firstLine="320"/>
        <w:spacing w:after="0" w:line="308" w:lineRule="auto"/>
        <w:tabs>
          <w:tab w:leader="none" w:pos="1299"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46" w:lineRule="exact"/>
        <w:rPr>
          <w:sz w:val="20"/>
          <w:szCs w:val="20"/>
          <w:color w:val="auto"/>
        </w:rPr>
      </w:pPr>
    </w:p>
    <w:p>
      <w:pPr>
        <w:ind w:left="340" w:right="140" w:hanging="323"/>
        <w:spacing w:after="0" w:line="277" w:lineRule="auto"/>
        <w:rPr>
          <w:sz w:val="20"/>
          <w:szCs w:val="20"/>
          <w:color w:val="auto"/>
        </w:rPr>
      </w:pPr>
      <w:r>
        <w:rPr>
          <w:rFonts w:ascii="Arial" w:cs="Arial" w:eastAsia="Arial" w:hAnsi="Arial"/>
          <w:sz w:val="18"/>
          <w:szCs w:val="18"/>
          <w:color w:val="auto"/>
        </w:rPr>
        <w:t>“Convertible Security” means any security convertible into or exchangeable for shares of Common Stock of the Company, or any option, warrant or other right to acquire shares of Common Stock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“Committee” has the meaning set forth in subsection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of the Company.</w:t>
      </w:r>
    </w:p>
    <w:p>
      <w:pPr>
        <w:spacing w:after="0" w:line="225" w:lineRule="exact"/>
        <w:rPr>
          <w:sz w:val="20"/>
          <w:szCs w:val="20"/>
          <w:color w:val="auto"/>
        </w:rPr>
      </w:pPr>
    </w:p>
    <w:p>
      <w:pPr>
        <w:ind w:left="340" w:right="80" w:hanging="323"/>
        <w:spacing w:after="0" w:line="342" w:lineRule="auto"/>
        <w:rPr>
          <w:sz w:val="20"/>
          <w:szCs w:val="20"/>
          <w:color w:val="auto"/>
        </w:rPr>
      </w:pPr>
      <w:r>
        <w:rPr>
          <w:rFonts w:ascii="Arial" w:cs="Arial" w:eastAsia="Arial" w:hAnsi="Arial"/>
          <w:sz w:val="16"/>
          <w:szCs w:val="16"/>
          <w:color w:val="auto"/>
        </w:rPr>
        <w:t>“Company” means OptimizeRx Corporation., a Nevada corporation, and its wholly owned subsidiaries, including OptimizeRx Corporation, a Michigan corporation, CareSpeak Communications, Inc., a New Jersey corporation, and any other wholly owned subsidiaries that may be acquired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means the Compensation Committee (if any) of the Board.</w:t>
      </w:r>
    </w:p>
    <w:p>
      <w:pPr>
        <w:spacing w:after="0" w:line="225" w:lineRule="exact"/>
        <w:rPr>
          <w:sz w:val="20"/>
          <w:szCs w:val="20"/>
          <w:color w:val="auto"/>
        </w:rPr>
      </w:pPr>
    </w:p>
    <w:p>
      <w:pPr>
        <w:ind w:left="340" w:right="180" w:hanging="323"/>
        <w:spacing w:after="0" w:line="273" w:lineRule="auto"/>
        <w:rPr>
          <w:sz w:val="20"/>
          <w:szCs w:val="20"/>
          <w:color w:val="auto"/>
        </w:rPr>
      </w:pPr>
      <w:r>
        <w:rPr>
          <w:rFonts w:ascii="Arial" w:cs="Arial" w:eastAsia="Arial" w:hAnsi="Arial"/>
          <w:sz w:val="17"/>
          <w:szCs w:val="17"/>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has the meaning set forth in Section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“Eligible Person” means any person eligible to receive an Award as set forth in 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“Entity” means any individual, entity or group (within the meaning of Section 13(d)(3) or Section 14(d)(2) of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from time to time.</w:t>
      </w:r>
    </w:p>
    <w:p>
      <w:pPr>
        <w:spacing w:after="0" w:line="225" w:lineRule="exact"/>
        <w:rPr>
          <w:sz w:val="20"/>
          <w:szCs w:val="20"/>
          <w:color w:val="auto"/>
        </w:rPr>
      </w:pPr>
    </w:p>
    <w:p>
      <w:pPr>
        <w:ind w:left="340" w:hanging="323"/>
        <w:spacing w:after="0" w:line="263" w:lineRule="auto"/>
        <w:rPr>
          <w:sz w:val="20"/>
          <w:szCs w:val="20"/>
          <w:color w:val="auto"/>
        </w:rPr>
      </w:pPr>
      <w:r>
        <w:rPr>
          <w:rFonts w:ascii="Arial" w:cs="Arial" w:eastAsia="Arial" w:hAnsi="Arial"/>
          <w:sz w:val="18"/>
          <w:szCs w:val="18"/>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“Grant Date” means the later of:</w:t>
      </w:r>
    </w:p>
    <w:p>
      <w:pPr>
        <w:spacing w:after="0" w:line="225" w:lineRule="exact"/>
        <w:rPr>
          <w:sz w:val="20"/>
          <w:szCs w:val="20"/>
          <w:color w:val="auto"/>
        </w:rPr>
      </w:pPr>
    </w:p>
    <w:p>
      <w:pPr>
        <w:ind w:left="340" w:right="760" w:firstLine="316"/>
        <w:spacing w:after="0" w:line="277" w:lineRule="auto"/>
        <w:tabs>
          <w:tab w:leader="none" w:pos="9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Committee completes the corporate action authorizing the grant of an Award or such later date specified by the Committee and</w:t>
      </w:r>
    </w:p>
    <w:p>
      <w:pPr>
        <w:spacing w:after="0" w:line="170" w:lineRule="exact"/>
        <w:rPr>
          <w:rFonts w:ascii="Arial" w:cs="Arial" w:eastAsia="Arial" w:hAnsi="Arial"/>
          <w:sz w:val="18"/>
          <w:szCs w:val="18"/>
          <w:color w:val="auto"/>
        </w:rPr>
      </w:pPr>
    </w:p>
    <w:p>
      <w:pPr>
        <w:ind w:left="340" w:right="100" w:firstLine="316"/>
        <w:spacing w:after="0" w:line="277" w:lineRule="auto"/>
        <w:tabs>
          <w:tab w:leader="none" w:pos="9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all conditions precedent to an Award have been satisfied, provided that conditions to the exercisability or vesting of Awards shall not defer the Grant Date.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 w:name="page28"/>
    <w:bookmarkEnd w:id="27"/>
    <w:p>
      <w:pPr>
        <w:ind w:left="340" w:right="220" w:hanging="323"/>
        <w:spacing w:after="0" w:line="277" w:lineRule="auto"/>
        <w:rPr>
          <w:sz w:val="20"/>
          <w:szCs w:val="20"/>
          <w:color w:val="auto"/>
        </w:rPr>
      </w:pPr>
      <w:r>
        <w:rPr>
          <w:rFonts w:ascii="Arial" w:cs="Arial" w:eastAsia="Arial" w:hAnsi="Arial"/>
          <w:sz w:val="18"/>
          <w:szCs w:val="18"/>
          <w:color w:val="auto"/>
        </w:rPr>
        <w:t>“Incentive Stock Option” means an Option granted with the intention that it qualify as an “incentive stock option” as that term is defined for purposes of Section 422 of the Code or any successor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“including”, “include”, “includes” and words of similar import shall be construed broadly as if followed by the phrase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a right to purchase Common Stock granted under Section 7.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Expiration Date” means the last day of the maximum term of an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Common Stock” has the meaning set forth in the definition of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Voting Securities” has the meaning set forth in the definition of “Change in Control.”</w:t>
      </w:r>
    </w:p>
    <w:p>
      <w:pPr>
        <w:spacing w:after="0" w:line="225" w:lineRule="exact"/>
        <w:rPr>
          <w:sz w:val="20"/>
          <w:szCs w:val="20"/>
          <w:color w:val="auto"/>
        </w:rPr>
      </w:pPr>
    </w:p>
    <w:p>
      <w:pPr>
        <w:ind w:left="340" w:right="540" w:hanging="323"/>
        <w:spacing w:after="0" w:line="277" w:lineRule="auto"/>
        <w:rPr>
          <w:sz w:val="20"/>
          <w:szCs w:val="20"/>
          <w:color w:val="auto"/>
        </w:rPr>
      </w:pPr>
      <w:r>
        <w:rPr>
          <w:rFonts w:ascii="Arial" w:cs="Arial" w:eastAsia="Arial" w:hAnsi="Arial"/>
          <w:sz w:val="18"/>
          <w:szCs w:val="18"/>
          <w:color w:val="auto"/>
        </w:rPr>
        <w:t>“Parent Company” means a company or other entity which as a result of a Company Transaction owns the Company or all or substantially all of the Company’s assets either directly or through one or more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any Eligible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 Award of Performance Shares or Performance Units granted under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means an Award of units denominated in shares of Common Stock granted under subsection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“Performance Unit” means an Award of units denominated in cash or property other than shares of Common Stock granted under subsection 11.2.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“Plan” means this OptimizeRx Corp.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Company” means any entity that is directly or indirectly controlled by, in control of or under common control with the Company.</w:t>
      </w:r>
    </w:p>
    <w:p>
      <w:pPr>
        <w:spacing w:after="0" w:line="225" w:lineRule="exact"/>
        <w:rPr>
          <w:sz w:val="20"/>
          <w:szCs w:val="20"/>
          <w:color w:val="auto"/>
        </w:rPr>
      </w:pPr>
    </w:p>
    <w:p>
      <w:pPr>
        <w:ind w:left="340" w:right="340" w:hanging="323"/>
        <w:spacing w:after="0" w:line="277" w:lineRule="auto"/>
        <w:rPr>
          <w:sz w:val="20"/>
          <w:szCs w:val="20"/>
          <w:color w:val="auto"/>
        </w:rPr>
      </w:pPr>
      <w:r>
        <w:rPr>
          <w:rFonts w:ascii="Arial" w:cs="Arial" w:eastAsia="Arial" w:hAnsi="Arial"/>
          <w:sz w:val="18"/>
          <w:szCs w:val="18"/>
          <w:color w:val="auto"/>
        </w:rPr>
        <w:t>“Restricted Stock” means an Award of shares of Common Stock granted under Section 10. , the rights of ownership of which are subject to restrictions prescribed by the Committee.</w:t>
      </w:r>
    </w:p>
    <w:p>
      <w:pPr>
        <w:spacing w:after="0" w:line="170" w:lineRule="exact"/>
        <w:rPr>
          <w:sz w:val="20"/>
          <w:szCs w:val="20"/>
          <w:color w:val="auto"/>
        </w:rPr>
      </w:pPr>
    </w:p>
    <w:p>
      <w:pPr>
        <w:ind w:left="340" w:hanging="323"/>
        <w:spacing w:after="0" w:line="279" w:lineRule="auto"/>
        <w:rPr>
          <w:sz w:val="20"/>
          <w:szCs w:val="20"/>
          <w:color w:val="auto"/>
        </w:rPr>
      </w:pPr>
      <w:r>
        <w:rPr>
          <w:rFonts w:ascii="Arial" w:cs="Arial" w:eastAsia="Arial" w:hAnsi="Arial"/>
          <w:sz w:val="17"/>
          <w:szCs w:val="17"/>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 from time to time.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8" w:name="page29"/>
    <w:bookmarkEnd w:id="28"/>
    <w:p>
      <w:pPr>
        <w:ind w:left="340" w:right="140" w:hanging="323"/>
        <w:spacing w:after="0" w:line="277" w:lineRule="auto"/>
        <w:rPr>
          <w:sz w:val="20"/>
          <w:szCs w:val="20"/>
          <w:color w:val="auto"/>
        </w:rPr>
      </w:pPr>
      <w:r>
        <w:rPr>
          <w:rFonts w:ascii="Arial" w:cs="Arial" w:eastAsia="Arial" w:hAnsi="Arial"/>
          <w:sz w:val="18"/>
          <w:szCs w:val="18"/>
          <w:color w:val="auto"/>
        </w:rPr>
        <w:t>“Stock Appreciation Right” or “SAR” means a right granted under subsection 9.1 to receive the excess of the Fair Market Value of a specified number of shares of Common Stock over the grant price.</w:t>
      </w:r>
    </w:p>
    <w:p>
      <w:pPr>
        <w:spacing w:after="0" w:line="170" w:lineRule="exact"/>
        <w:rPr>
          <w:sz w:val="20"/>
          <w:szCs w:val="20"/>
          <w:color w:val="auto"/>
        </w:rPr>
      </w:pPr>
    </w:p>
    <w:p>
      <w:pPr>
        <w:ind w:left="340" w:right="400" w:hanging="323"/>
        <w:spacing w:after="0" w:line="277" w:lineRule="auto"/>
        <w:rPr>
          <w:sz w:val="20"/>
          <w:szCs w:val="20"/>
          <w:color w:val="auto"/>
        </w:rPr>
      </w:pPr>
      <w:r>
        <w:rPr>
          <w:rFonts w:ascii="Arial" w:cs="Arial" w:eastAsia="Arial" w:hAnsi="Arial"/>
          <w:sz w:val="18"/>
          <w:szCs w:val="18"/>
          <w:color w:val="auto"/>
        </w:rPr>
        <w:t>“Stock Award” means an Award of shares of Common Stock granted under Section 10, the rights of ownership of which are not subject to restrictions prescribed by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Unit” means an Award denominated in units of Common Stock granted under Section 10.</w:t>
      </w:r>
    </w:p>
    <w:p>
      <w:pPr>
        <w:spacing w:after="0" w:line="225" w:lineRule="exact"/>
        <w:rPr>
          <w:sz w:val="20"/>
          <w:szCs w:val="20"/>
          <w:color w:val="auto"/>
        </w:rPr>
      </w:pPr>
    </w:p>
    <w:p>
      <w:pPr>
        <w:ind w:left="340" w:right="60" w:hanging="323"/>
        <w:spacing w:after="0" w:line="277" w:lineRule="auto"/>
        <w:rPr>
          <w:sz w:val="20"/>
          <w:szCs w:val="20"/>
          <w:color w:val="auto"/>
        </w:rPr>
      </w:pPr>
      <w:r>
        <w:rPr>
          <w:rFonts w:ascii="Arial" w:cs="Arial" w:eastAsia="Arial" w:hAnsi="Arial"/>
          <w:sz w:val="18"/>
          <w:szCs w:val="18"/>
          <w:color w:val="auto"/>
        </w:rPr>
        <w:t>“Substitute Awards” means Awards granted or shares of Common Stock issued by the Company in substitution or exchange for awards previously granted by an Acquired Entity.</w:t>
      </w:r>
    </w:p>
    <w:p>
      <w:pPr>
        <w:spacing w:after="0" w:line="170" w:lineRule="exact"/>
        <w:rPr>
          <w:sz w:val="20"/>
          <w:szCs w:val="20"/>
          <w:color w:val="auto"/>
        </w:rPr>
      </w:pPr>
    </w:p>
    <w:p>
      <w:pPr>
        <w:ind w:left="340" w:right="860" w:hanging="323"/>
        <w:spacing w:after="0" w:line="277" w:lineRule="auto"/>
        <w:rPr>
          <w:sz w:val="20"/>
          <w:szCs w:val="20"/>
          <w:color w:val="auto"/>
        </w:rPr>
      </w:pPr>
      <w:r>
        <w:rPr>
          <w:rFonts w:ascii="Arial" w:cs="Arial" w:eastAsia="Arial" w:hAnsi="Arial"/>
          <w:sz w:val="18"/>
          <w:szCs w:val="18"/>
          <w:color w:val="auto"/>
        </w:rPr>
        <w:t>“Successor Company” means the surviving company, the successor company or Parent Company, as applicable, in connection with a Company Transaction.</w:t>
      </w:r>
    </w:p>
    <w:p>
      <w:pPr>
        <w:spacing w:after="0" w:line="170" w:lineRule="exact"/>
        <w:rPr>
          <w:sz w:val="20"/>
          <w:szCs w:val="20"/>
          <w:color w:val="auto"/>
        </w:rPr>
      </w:pPr>
    </w:p>
    <w:p>
      <w:pPr>
        <w:ind w:left="340" w:hanging="323"/>
        <w:spacing w:after="0" w:line="269" w:lineRule="auto"/>
        <w:rPr>
          <w:sz w:val="20"/>
          <w:szCs w:val="20"/>
          <w:color w:val="auto"/>
        </w:rPr>
      </w:pPr>
      <w:r>
        <w:rPr>
          <w:rFonts w:ascii="Arial" w:cs="Arial" w:eastAsia="Arial" w:hAnsi="Arial"/>
          <w:sz w:val="17"/>
          <w:szCs w:val="17"/>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 means the Grant Date or such other date selected by the Committee as the date from which an Award begins to vest.</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PLAN ADOPTION AND AMENDMENTS/ADJUSTMENTS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PAGE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Date of Board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Action</w:t>
            </w:r>
          </w:p>
        </w:tc>
        <w:tc>
          <w:tcPr>
            <w:tcW w:w="2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Section/Effect</w:t>
            </w:r>
          </w:p>
        </w:tc>
        <w:tc>
          <w:tcPr>
            <w:tcW w:w="23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of Shareholder</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Action</w:t>
            </w:r>
          </w:p>
        </w:tc>
        <w:tc>
          <w:tcPr>
            <w:tcW w:w="37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 Amendment</w:t>
            </w:r>
          </w:p>
        </w:tc>
        <w:tc>
          <w:tcPr>
            <w:tcW w:w="2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Approval</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14, 2013</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Plan Adoption</w:t>
            </w:r>
          </w:p>
        </w:tc>
        <w:tc>
          <w:tcPr>
            <w:tcW w:w="25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14, 2013</w:t>
            </w: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2016</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Increase Authorized Shares under the Plan</w:t>
            </w: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increase to</w:t>
            </w: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4,000,000 shares</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February 1, 2018</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Increase Authorized Shares under the Plan</w:t>
            </w: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increase to</w:t>
            </w: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5,500,000 shares</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share allowance of</w:t>
            </w: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 2018</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 for 3 reverse stock split</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5,500,000 adjusted to 1,833,333</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shares by operation of Section</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15.1</w:t>
            </w: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11, 2019</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Increase Authorized Shares under the Plan</w:t>
            </w: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increase to</w:t>
            </w:r>
          </w:p>
        </w:tc>
        <w:tc>
          <w:tcPr>
            <w:tcW w:w="23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4, 2019</w:t>
            </w: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2,500,000 shares</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5, 2020</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Increase Authorized Shares under the Plan</w:t>
            </w: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increase to</w:t>
            </w:r>
          </w:p>
        </w:tc>
        <w:tc>
          <w:tcPr>
            <w:tcW w:w="23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19, 2020</w:t>
            </w: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3,000,000 shares</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 2020</w:t>
            </w:r>
          </w:p>
        </w:tc>
        <w:tc>
          <w:tcPr>
            <w:tcW w:w="3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Increase Authorized Shares under the Plan</w:t>
            </w:r>
          </w:p>
        </w:tc>
        <w:tc>
          <w:tcPr>
            <w:tcW w:w="25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 4.1: increase to</w:t>
            </w: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6,000,000 shares</w:t>
            </w: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4"/>
        </w:trPr>
        <w:tc>
          <w:tcPr>
            <w:tcW w:w="2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24</w:t>
            </w:r>
          </w:p>
        </w:tc>
        <w:tc>
          <w:tcPr>
            <w:tcW w:w="2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ind w:left="1040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763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3492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OptimizeRx Corp.,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acted as counsel for OptimizeRx Corp.,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3,000,000 shares of the Company’s common stock (the “Shares”), which may be issued pursuant to the Company’s Fifth Amended and Restated 2013 Equity Incentive Plan (the “Plan”).</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inclusion of our name and use of our opinion in connection with the Form S-8 Registration Statement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of OptimizeRx Corporation on Form S-8 our report dated March 8, 2021, with respect to our audit of the consolidated financial statements of OptimizeRx Corporation and Subsidiaries as of December 31, 2020 and for the year then ended appearing in the Annual Report on Form 10-K of OptimizeRx Corporation and Subsidiaries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ectPr>
          <w:pgSz w:w="11900" w:h="16838" w:orient="portrait"/>
          <w:cols w:equalWidth="0" w:num="1">
            <w:col w:w="11240"/>
          </w:cols>
          <w:pgMar w:left="320" w:top="121" w:right="339" w:bottom="1440" w:gutter="0" w:footer="0" w:header="0"/>
        </w:sectPr>
      </w:pPr>
    </w:p>
    <w:bookmarkStart w:id="33" w:name="page34"/>
    <w:bookmarkEnd w:id="33"/>
    <w:p>
      <w:pPr>
        <w:ind w:left="10320"/>
        <w:spacing w:after="0"/>
        <w:rPr>
          <w:sz w:val="20"/>
          <w:szCs w:val="20"/>
          <w:color w:val="auto"/>
        </w:rPr>
      </w:pPr>
      <w:r>
        <w:rPr>
          <w:rFonts w:ascii="Arial" w:cs="Arial" w:eastAsia="Arial" w:hAnsi="Arial"/>
          <w:sz w:val="16"/>
          <w:szCs w:val="16"/>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143510</wp:posOffset>
            </wp:positionV>
            <wp:extent cx="28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OptimizeRx Corporation on Form S-8 of our report dated March 26, 2020 with respect to our audit of the consolidated financial statements of OptimizeRx Corporation as of December 31, 2019 and for the year then ended, appearing in the Annual Report on Form 10-K of OptimizeRx Corporation for the year ended December 31, 2020. We were dismissed as auditors on June 22, 2020 and, accordingly, we have not performed any audit or review procedures with respect to any financial statements incorporated by reference in such Prospectus for the periods after the date of our dismissal.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2"/>
      <w:numFmt w:val="bullet"/>
      <w:start w:val="1"/>
    </w:lvl>
  </w:abstractNum>
  <w:abstractNum w:abstractNumId="4">
    <w:nsid w:val="436C6125"/>
    <w:multiLevelType w:val="hybridMultilevel"/>
    <w:lvl w:ilvl="0">
      <w:lvlJc w:val="left"/>
      <w:lvlText w:val="3"/>
      <w:numFmt w:val="bullet"/>
      <w:start w:val="1"/>
    </w:lvl>
  </w:abstractNum>
  <w:abstractNum w:abstractNumId="5">
    <w:nsid w:val="628C895D"/>
    <w:multiLevelType w:val="hybridMultilevel"/>
    <w:lvl w:ilvl="0">
      <w:lvlJc w:val="left"/>
      <w:lvlText w:val="%1"/>
      <w:numFmt w:val="lowerRoman"/>
      <w:start w:val="1"/>
    </w:lvl>
    <w:lvl w:ilvl="1">
      <w:lvlJc w:val="left"/>
      <w:lvlText w:val="(%2)"/>
      <w:numFmt w:val="decimal"/>
      <w:start w:val="1"/>
    </w:lvl>
  </w:abstractNum>
  <w:abstractNum w:abstractNumId="6">
    <w:nsid w:val="333AB105"/>
    <w:multiLevelType w:val="hybridMultilevel"/>
    <w:lvl w:ilvl="0">
      <w:lvlJc w:val="left"/>
      <w:lvlText w:val="(%1)"/>
      <w:numFmt w:val="lowerRoman"/>
      <w:start w:val="1"/>
    </w:lvl>
    <w:lvl w:ilvl="1">
      <w:lvlJc w:val="left"/>
      <w:lvlText w:val="(%2)"/>
      <w:numFmt w:val="decimal"/>
      <w:start w:val="2"/>
    </w:lvl>
  </w:abstractNum>
  <w:abstractNum w:abstractNumId="7">
    <w:nsid w:val="721DA317"/>
    <w:multiLevelType w:val="hybridMultilevel"/>
    <w:lvl w:ilvl="0">
      <w:lvlJc w:val="left"/>
      <w:lvlText w:val="(%1)"/>
      <w:numFmt w:val="lowerRoman"/>
      <w:start w:val="1"/>
    </w:lvl>
    <w:lvl w:ilvl="1">
      <w:lvlJc w:val="left"/>
      <w:lvlText w:val="(%2)"/>
      <w:numFmt w:val="decimal"/>
      <w:start w:val="5"/>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lowerLetter"/>
      <w:start w:val="1"/>
    </w:lvl>
    <w:lvl w:ilvl="1">
      <w:lvlJc w:val="left"/>
      <w:lvlText w:val="(%2)"/>
      <w:numFmt w:val="lowerRoman"/>
      <w:start w:val="1"/>
    </w:lvl>
  </w:abstractNum>
  <w:abstractNum w:abstractNumId="10">
    <w:nsid w:val="6763845E"/>
    <w:multiLevelType w:val="hybridMultilevel"/>
    <w:lvl w:ilvl="0">
      <w:lvlJc w:val="left"/>
      <w:lvlText w:val="(%1)"/>
      <w:numFmt w:val="lowerLetter"/>
      <w:start w:val="1"/>
    </w:lvl>
    <w:lvl w:ilvl="1">
      <w:lvlJc w:val="left"/>
      <w:lvlText w:val="(%2)"/>
      <w:numFmt w:val="lowerRoman"/>
      <w:start w:val="1"/>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1)"/>
      <w:numFmt w:val="lowerLetter"/>
      <w:start w:val="4"/>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lvl w:ilvl="1">
      <w:lvlJc w:val="left"/>
      <w:lvlText w:val="(%2)"/>
      <w:numFmt w:val="lowerRoman"/>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lowerLetter"/>
      <w:start w:val="1"/>
    </w:lvl>
    <w:lvl w:ilvl="1">
      <w:lvlJc w:val="left"/>
      <w:lvlText w:val="(%2)"/>
      <w:numFmt w:val="lowerRoman"/>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lvl w:ilvl="1">
      <w:lvlJc w:val="left"/>
      <w:lvlText w:val="(%2)"/>
      <w:numFmt w:val="lowerRoman"/>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lvl w:ilvl="1">
      <w:lvlJc w:val="left"/>
      <w:lvlText w:val="(%2)"/>
      <w:numFmt w:val="lowerRoman"/>
      <w:start w:val="1"/>
    </w:lvl>
  </w:abstractNum>
  <w:abstractNum w:abstractNumId="31">
    <w:nsid w:val="614FD4A1"/>
    <w:multiLevelType w:val="hybridMultilevel"/>
    <w:lvl w:ilvl="0">
      <w:lvlJc w:val="left"/>
      <w:lvlText w:val="(%1)"/>
      <w:numFmt w:val="lowerRoman"/>
      <w:start w:val="3"/>
    </w:lvl>
  </w:abstractNum>
  <w:abstractNum w:abstractNumId="32">
    <w:nsid w:val="419AC241"/>
    <w:multiLevelType w:val="hybridMultilevel"/>
    <w:lvl w:ilvl="0">
      <w:lvlJc w:val="left"/>
      <w:lvlText w:val="(%1)"/>
      <w:numFmt w:val="lowerLetter"/>
      <w:start w:val="2"/>
    </w:lvl>
  </w:abstractNum>
  <w:abstractNum w:abstractNumId="33">
    <w:nsid w:val="5577F8E1"/>
    <w:multiLevelType w:val="hybridMultilevel"/>
    <w:lvl w:ilvl="0">
      <w:lvlJc w:val="left"/>
      <w:lvlText w:val="(%1)"/>
      <w:numFmt w:val="lowerLetter"/>
      <w:start w:val="1"/>
    </w:lvl>
    <w:lvl w:ilvl="1">
      <w:lvlJc w:val="left"/>
      <w:lvlText w:val="(%2)"/>
      <w:numFmt w:val="lowerRoman"/>
      <w:start w:val="1"/>
    </w:lvl>
  </w:abstractNum>
  <w:abstractNum w:abstractNumId="34">
    <w:nsid w:val="440BADFC"/>
    <w:multiLevelType w:val="hybridMultilevel"/>
    <w:lvl w:ilvl="0">
      <w:lvlJc w:val="left"/>
      <w:lvlText w:val="(%1)"/>
      <w:numFmt w:val="lowerRoman"/>
      <w:start w:val="3"/>
    </w:lvl>
  </w:abstractNum>
  <w:abstractNum w:abstractNumId="35">
    <w:nsid w:val="507236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e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14" Type="http://schemas.openxmlformats.org/officeDocument/2006/relationships/hyperlink" Target="http://www.sec.gov/Archives/edgar/data/1448431/000121390021013996/f10k2020_optimizerx.htm" TargetMode="External"/><Relationship Id="rId15" Type="http://schemas.openxmlformats.org/officeDocument/2006/relationships/hyperlink" Target="http://www.sec.gov/Archives/edgar/data/1448431/000121390021007404/ea134797-s3asr_optimizerx.htm" TargetMode="External"/><Relationship Id="rId17" Type="http://schemas.openxmlformats.org/officeDocument/2006/relationships/hyperlink" Target="http://www.sec.gov/Archives/edgar/data/1448431/000136110608000414/optimizerx_s1-ex0301.htm" TargetMode="External"/><Relationship Id="rId18" Type="http://schemas.openxmlformats.org/officeDocument/2006/relationships/hyperlink" Target="http://www.sec.gov/Archives/edgar/data/1448431/000125529410000605/ex3_1.htm" TargetMode="External"/><Relationship Id="rId20" Type="http://schemas.openxmlformats.org/officeDocument/2006/relationships/hyperlink" Target="http://www.sec.gov/Archives/edgar/data/1448431/000121390019003962/f10k2018ex3-5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2021-03-29T15:20:09Z</dcterms:created>
  <dcterms:modified xsi:type="dcterms:W3CDTF">2021-03-29T15:20:09Z</dcterms:modified>
</cp:coreProperties>
</file>