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0" w:right="2400" w:hanging="1584"/>
        <w:spacing w:after="0" w:line="482" w:lineRule="auto"/>
        <w:tabs>
          <w:tab w:leader="none" w:pos="262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2019</w:t>
      </w:r>
    </w:p>
    <w:p>
      <w:pPr>
        <w:spacing w:after="0" w:line="33" w:lineRule="exact"/>
        <w:rPr>
          <w:sz w:val="24"/>
          <w:szCs w:val="24"/>
          <w:color w:val="auto"/>
        </w:rPr>
      </w:pPr>
    </w:p>
    <w:p>
      <w:pPr>
        <w:ind w:left="3580" w:right="2680" w:hanging="893"/>
        <w:spacing w:after="0" w:line="528" w:lineRule="auto"/>
        <w:tabs>
          <w:tab w:leader="none" w:pos="289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p>
      <w:pPr>
        <w:ind w:left="4340"/>
        <w:spacing w:after="0"/>
        <w:rPr>
          <w:rFonts w:ascii="MS PGothic" w:cs="MS PGothic" w:eastAsia="MS PGothic" w:hAnsi="MS PGothic"/>
          <w:sz w:val="17"/>
          <w:szCs w:val="17"/>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001-38543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ind w:left="2520"/>
              <w:spacing w:after="0"/>
              <w:rPr>
                <w:sz w:val="20"/>
                <w:szCs w:val="20"/>
                <w:color w:val="auto"/>
              </w:rPr>
            </w:pPr>
            <w:r>
              <w:rPr>
                <w:rFonts w:ascii="Arial" w:cs="Arial" w:eastAsia="Arial" w:hAnsi="Arial"/>
                <w:sz w:val="18"/>
                <w:szCs w:val="18"/>
                <w:b w:val="1"/>
                <w:bCs w:val="1"/>
                <w:color w:val="auto"/>
              </w:rPr>
              <w:t>Nevada</w:t>
            </w:r>
          </w:p>
        </w:tc>
        <w:tc>
          <w:tcPr>
            <w:tcW w:w="7340" w:type="dxa"/>
            <w:vAlign w:val="bottom"/>
            <w:gridSpan w:val="7"/>
          </w:tcPr>
          <w:p>
            <w:pPr>
              <w:jc w:val="center"/>
              <w:ind w:left="165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4080" w:type="dxa"/>
            <w:vAlign w:val="bottom"/>
            <w:tcBorders>
              <w:top w:val="single" w:sz="8" w:color="auto"/>
            </w:tcBorders>
          </w:tcPr>
          <w:p>
            <w:pPr>
              <w:ind w:left="1740"/>
              <w:spacing w:after="0" w:line="201" w:lineRule="exact"/>
              <w:rPr>
                <w:sz w:val="20"/>
                <w:szCs w:val="20"/>
                <w:color w:val="auto"/>
              </w:rPr>
            </w:pPr>
            <w:r>
              <w:rPr>
                <w:rFonts w:ascii="Arial" w:cs="Arial" w:eastAsia="Arial" w:hAnsi="Arial"/>
                <w:sz w:val="18"/>
                <w:szCs w:val="18"/>
                <w:color w:val="auto"/>
              </w:rPr>
              <w:t>(State or other jurisdiction of</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ind w:right="6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tcPr>
          <w:p>
            <w:pPr>
              <w:ind w:left="1720"/>
              <w:spacing w:after="0"/>
              <w:rPr>
                <w:sz w:val="20"/>
                <w:szCs w:val="20"/>
                <w:color w:val="auto"/>
              </w:rPr>
            </w:pPr>
            <w:r>
              <w:rPr>
                <w:rFonts w:ascii="Arial" w:cs="Arial" w:eastAsia="Arial" w:hAnsi="Arial"/>
                <w:sz w:val="18"/>
                <w:szCs w:val="18"/>
                <w:color w:val="auto"/>
                <w:w w:val="99"/>
              </w:rPr>
              <w:t>incorporation or organization)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80" w:type="dxa"/>
            <w:vAlign w:val="bottom"/>
          </w:tcPr>
          <w:p>
            <w:pPr>
              <w:spacing w:after="0"/>
              <w:rPr>
                <w:sz w:val="24"/>
                <w:szCs w:val="24"/>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b w:val="1"/>
                <w:bCs w:val="1"/>
                <w:color w:val="auto"/>
                <w:w w:val="91"/>
              </w:rPr>
              <w:t>400 Water Street, Suite 200</w:t>
            </w:r>
          </w:p>
        </w:tc>
      </w:tr>
      <w:tr>
        <w:trPr>
          <w:trHeight w:val="194"/>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20" w:type="dxa"/>
            <w:vAlign w:val="bottom"/>
            <w:gridSpan w:val="6"/>
          </w:tcPr>
          <w:p>
            <w:pPr>
              <w:jc w:val="center"/>
              <w:ind w:right="4810"/>
              <w:spacing w:after="0" w:line="194" w:lineRule="exact"/>
              <w:rPr>
                <w:sz w:val="20"/>
                <w:szCs w:val="20"/>
                <w:color w:val="auto"/>
              </w:rPr>
            </w:pPr>
            <w:r>
              <w:rPr>
                <w:rFonts w:ascii="Arial" w:cs="Arial" w:eastAsia="Arial" w:hAnsi="Arial"/>
                <w:sz w:val="18"/>
                <w:szCs w:val="18"/>
                <w:b w:val="1"/>
                <w:bCs w:val="1"/>
                <w:color w:val="auto"/>
                <w:w w:val="90"/>
              </w:rPr>
              <w:t>Rochester, MI, 48307</w:t>
            </w:r>
          </w:p>
        </w:tc>
      </w:tr>
      <w:tr>
        <w:trPr>
          <w:trHeight w:val="20"/>
        </w:trPr>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89"/>
              </w:rPr>
              <w:t>(Registrant's telephone number)</w:t>
            </w: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w:t>
      </w:r>
    </w:p>
    <w:p>
      <w:pPr>
        <w:sectPr>
          <w:pgSz w:w="11900" w:h="16838" w:orient="portrait"/>
          <w:cols w:equalWidth="0" w:num="1">
            <w:col w:w="11420"/>
          </w:cols>
          <w:pgMar w:left="240" w:top="517" w:right="239" w:bottom="1440" w:gutter="0" w:footer="0" w:header="0"/>
        </w:sectPr>
      </w:pPr>
    </w:p>
    <w:p>
      <w:pPr>
        <w:spacing w:after="0" w:line="138" w:lineRule="exact"/>
        <w:rPr>
          <w:sz w:val="24"/>
          <w:szCs w:val="24"/>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6360" w:space="720"/>
            <w:col w:w="4340"/>
          </w:cols>
          <w:pgMar w:left="240" w:top="517" w:right="239" w:bottom="1440" w:gutter="0" w:footer="0" w:header="0"/>
          <w:type w:val="continuous"/>
        </w:sectPr>
      </w:pPr>
    </w:p>
    <w:p>
      <w:pPr>
        <w:spacing w:after="0" w:line="3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12,278,833 common shares as of May 3, 2019.</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4"/>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438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3"/>
              </w:rPr>
              <w:t>OPRX</w:t>
            </w:r>
          </w:p>
        </w:tc>
        <w:tc>
          <w:tcPr>
            <w:tcW w:w="100" w:type="dxa"/>
            <w:vAlign w:val="bottom"/>
          </w:tcPr>
          <w:p>
            <w:pPr>
              <w:spacing w:after="0"/>
              <w:rPr>
                <w:sz w:val="20"/>
                <w:szCs w:val="20"/>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Markets</w:t>
            </w:r>
          </w:p>
        </w:tc>
      </w:tr>
      <w:tr>
        <w:trPr>
          <w:trHeight w:val="202"/>
        </w:trPr>
        <w:tc>
          <w:tcPr>
            <w:tcW w:w="20" w:type="dxa"/>
            <w:vAlign w:val="bottom"/>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r>
      <w:tr>
        <w:trPr>
          <w:trHeight w:val="28"/>
        </w:trPr>
        <w:tc>
          <w:tcPr>
            <w:tcW w:w="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642"/>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7"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6360" w:type="dxa"/>
            <w:vAlign w:val="bottom"/>
            <w:gridSpan w:val="4"/>
          </w:tcPr>
          <w:p>
            <w:pPr>
              <w:ind w:left="7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17"/>
                <w:szCs w:val="17"/>
                <w:color w:val="auto"/>
              </w:rPr>
            </w:pPr>
          </w:p>
        </w:tc>
      </w:tr>
      <w:tr>
        <w:trPr>
          <w:trHeight w:val="460"/>
        </w:trPr>
        <w:tc>
          <w:tcPr>
            <w:tcW w:w="9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Page</w:t>
            </w:r>
          </w:p>
        </w:tc>
      </w:tr>
      <w:tr>
        <w:trPr>
          <w:trHeight w:val="392"/>
        </w:trPr>
        <w:tc>
          <w:tcPr>
            <w:tcW w:w="900" w:type="dxa"/>
            <w:vAlign w:val="bottom"/>
          </w:tcPr>
          <w:p>
            <w:pPr>
              <w:spacing w:after="0"/>
              <w:rPr>
                <w:sz w:val="24"/>
                <w:szCs w:val="24"/>
                <w:color w:val="auto"/>
              </w:rPr>
            </w:pPr>
          </w:p>
        </w:tc>
        <w:tc>
          <w:tcPr>
            <w:tcW w:w="9620" w:type="dxa"/>
            <w:vAlign w:val="bottom"/>
            <w:gridSpan w:val="5"/>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900" w:type="dxa"/>
            <w:vAlign w:val="bottom"/>
          </w:tcPr>
          <w:p>
            <w:pPr>
              <w:spacing w:after="0"/>
              <w:rPr>
                <w:sz w:val="24"/>
                <w:szCs w:val="24"/>
                <w:color w:val="auto"/>
              </w:rPr>
            </w:pPr>
          </w:p>
        </w:tc>
      </w:tr>
      <w:tr>
        <w:trPr>
          <w:trHeight w:val="43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3260" w:type="dxa"/>
            <w:vAlign w:val="bottom"/>
          </w:tcPr>
          <w:p>
            <w:pPr>
              <w:ind w:left="260"/>
              <w:spacing w:after="0"/>
              <w:rPr>
                <w:sz w:val="20"/>
                <w:szCs w:val="20"/>
                <w:color w:val="auto"/>
              </w:rPr>
            </w:pPr>
            <w:r>
              <w:rPr>
                <w:rFonts w:ascii="Arial" w:cs="Arial" w:eastAsia="Arial" w:hAnsi="Arial"/>
                <w:sz w:val="18"/>
                <w:szCs w:val="18"/>
                <w:color w:val="auto"/>
              </w:rPr>
              <w:t>Financial Statements (unaudited)</w:t>
            </w:r>
          </w:p>
        </w:tc>
        <w:tc>
          <w:tcPr>
            <w:tcW w:w="3160" w:type="dxa"/>
            <w:vAlign w:val="bottom"/>
            <w:tcBorders>
              <w:top w:val="single" w:sz="8" w:color="auto"/>
            </w:tcBorders>
            <w:gridSpan w:val="3"/>
          </w:tcPr>
          <w:p>
            <w:pPr>
              <w:spacing w:after="0"/>
              <w:rPr>
                <w:sz w:val="24"/>
                <w:szCs w:val="24"/>
                <w:color w:val="auto"/>
              </w:rPr>
            </w:pPr>
          </w:p>
        </w:tc>
        <w:tc>
          <w:tcPr>
            <w:tcW w:w="3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5"/>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620" w:type="dxa"/>
            <w:vAlign w:val="bottom"/>
            <w:gridSpan w:val="5"/>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620" w:type="dxa"/>
            <w:vAlign w:val="bottom"/>
            <w:gridSpan w:val="5"/>
          </w:tcPr>
          <w:p>
            <w:pPr>
              <w:ind w:left="260"/>
              <w:spacing w:after="0"/>
              <w:rPr>
                <w:sz w:val="20"/>
                <w:szCs w:val="20"/>
                <w:color w:val="auto"/>
              </w:rPr>
            </w:pPr>
            <w:r>
              <w:rPr>
                <w:rFonts w:ascii="Arial" w:cs="Arial" w:eastAsia="Arial" w:hAnsi="Arial"/>
                <w:sz w:val="18"/>
                <w:szCs w:val="18"/>
                <w:color w:val="auto"/>
              </w:rPr>
              <w:t>Controls and Procedures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432"/>
        </w:trPr>
        <w:tc>
          <w:tcPr>
            <w:tcW w:w="9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360" w:type="dxa"/>
            <w:vAlign w:val="bottom"/>
            <w:gridSpan w:val="4"/>
          </w:tcPr>
          <w:p>
            <w:pPr>
              <w:jc w:val="center"/>
              <w:ind w:right="3260"/>
              <w:spacing w:after="0"/>
              <w:rPr>
                <w:sz w:val="20"/>
                <w:szCs w:val="20"/>
                <w:color w:val="auto"/>
              </w:rPr>
            </w:pPr>
            <w:r>
              <w:rPr>
                <w:rFonts w:ascii="Arial" w:cs="Arial" w:eastAsia="Arial" w:hAnsi="Arial"/>
                <w:sz w:val="18"/>
                <w:szCs w:val="18"/>
                <w:b w:val="1"/>
                <w:bCs w:val="1"/>
                <w:color w:val="auto"/>
              </w:rPr>
              <w:t>PART II – OTHER INFORMATION</w:t>
            </w:r>
          </w:p>
        </w:tc>
        <w:tc>
          <w:tcPr>
            <w:tcW w:w="900" w:type="dxa"/>
            <w:vAlign w:val="bottom"/>
          </w:tcPr>
          <w:p>
            <w:pPr>
              <w:spacing w:after="0"/>
              <w:rPr>
                <w:sz w:val="24"/>
                <w:szCs w:val="24"/>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620" w:type="dxa"/>
            <w:vAlign w:val="bottom"/>
            <w:gridSpan w:val="5"/>
          </w:tcPr>
          <w:p>
            <w:pPr>
              <w:ind w:left="260"/>
              <w:spacing w:after="0"/>
              <w:rPr>
                <w:sz w:val="20"/>
                <w:szCs w:val="20"/>
                <w:color w:val="auto"/>
              </w:rPr>
            </w:pPr>
            <w:r>
              <w:rPr>
                <w:rFonts w:ascii="Arial" w:cs="Arial" w:eastAsia="Arial" w:hAnsi="Arial"/>
                <w:sz w:val="18"/>
                <w:szCs w:val="18"/>
                <w:color w:val="auto"/>
              </w:rPr>
              <w:t>Legal Proceedings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620" w:type="dxa"/>
            <w:vAlign w:val="bottom"/>
            <w:gridSpan w:val="5"/>
          </w:tcPr>
          <w:p>
            <w:pPr>
              <w:ind w:left="260"/>
              <w:spacing w:after="0"/>
              <w:rPr>
                <w:sz w:val="20"/>
                <w:szCs w:val="20"/>
                <w:color w:val="auto"/>
              </w:rPr>
            </w:pPr>
            <w:r>
              <w:rPr>
                <w:rFonts w:ascii="Arial" w:cs="Arial" w:eastAsia="Arial" w:hAnsi="Arial"/>
                <w:sz w:val="18"/>
                <w:szCs w:val="18"/>
                <w:color w:val="auto"/>
              </w:rPr>
              <w:t>Risk Factors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5"/>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620" w:type="dxa"/>
            <w:vAlign w:val="bottom"/>
            <w:gridSpan w:val="5"/>
          </w:tcPr>
          <w:p>
            <w:pPr>
              <w:ind w:left="260"/>
              <w:spacing w:after="0"/>
              <w:rPr>
                <w:sz w:val="20"/>
                <w:szCs w:val="20"/>
                <w:color w:val="auto"/>
              </w:rPr>
            </w:pPr>
            <w:r>
              <w:rPr>
                <w:rFonts w:ascii="Arial" w:cs="Arial" w:eastAsia="Arial" w:hAnsi="Arial"/>
                <w:sz w:val="18"/>
                <w:szCs w:val="18"/>
                <w:color w:val="auto"/>
              </w:rPr>
              <w:t>Defaults Upon Senior Securities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620" w:type="dxa"/>
            <w:vAlign w:val="bottom"/>
            <w:gridSpan w:val="5"/>
          </w:tcPr>
          <w:p>
            <w:pPr>
              <w:ind w:left="260"/>
              <w:spacing w:after="0"/>
              <w:rPr>
                <w:sz w:val="20"/>
                <w:szCs w:val="20"/>
                <w:color w:val="auto"/>
              </w:rPr>
            </w:pPr>
            <w:r>
              <w:rPr>
                <w:rFonts w:ascii="Arial" w:cs="Arial" w:eastAsia="Arial" w:hAnsi="Arial"/>
                <w:sz w:val="18"/>
                <w:szCs w:val="18"/>
                <w:color w:val="auto"/>
              </w:rPr>
              <w:t>Mine Safety Disclosure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620" w:type="dxa"/>
            <w:vAlign w:val="bottom"/>
            <w:gridSpan w:val="5"/>
          </w:tcPr>
          <w:p>
            <w:pPr>
              <w:ind w:left="260"/>
              <w:spacing w:after="0"/>
              <w:rPr>
                <w:sz w:val="20"/>
                <w:szCs w:val="20"/>
                <w:color w:val="auto"/>
              </w:rPr>
            </w:pPr>
            <w:r>
              <w:rPr>
                <w:rFonts w:ascii="Arial" w:cs="Arial" w:eastAsia="Arial" w:hAnsi="Arial"/>
                <w:sz w:val="18"/>
                <w:szCs w:val="18"/>
                <w:color w:val="auto"/>
              </w:rPr>
              <w:t>Other Information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620" w:type="dxa"/>
            <w:vAlign w:val="bottom"/>
            <w:gridSpan w:val="5"/>
          </w:tcPr>
          <w:p>
            <w:pPr>
              <w:ind w:left="260"/>
              <w:spacing w:after="0"/>
              <w:rPr>
                <w:sz w:val="20"/>
                <w:szCs w:val="20"/>
                <w:color w:val="auto"/>
              </w:rPr>
            </w:pPr>
            <w:r>
              <w:rPr>
                <w:rFonts w:ascii="Arial" w:cs="Arial" w:eastAsia="Arial" w:hAnsi="Arial"/>
                <w:sz w:val="18"/>
                <w:szCs w:val="18"/>
                <w:color w:val="auto"/>
              </w:rPr>
              <w:t>Exhibits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655"/>
        </w:trPr>
        <w:tc>
          <w:tcPr>
            <w:tcW w:w="9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51" w:right="239" w:bottom="1440" w:gutter="0" w:footer="0" w:header="0"/>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Condensed Consolidated Balance Sheets as of March 31, 2019 (unaudited) and December 31, 2018;</w:t>
      </w:r>
    </w:p>
    <w:p>
      <w:pPr>
        <w:spacing w:after="0" w:line="23"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Condensed Consolidated Statements of Operations for the three months ended March 31, 2019 and 2018 (unaudited);</w:t>
      </w:r>
    </w:p>
    <w:p>
      <w:pPr>
        <w:spacing w:after="0" w:line="9"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Condensed Consolidated Statements of Changes in Stockholders’ Equity for the three months ended March 31, 2019 and 2018 (unaudited)</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w:t>
      </w:r>
      <w:r>
        <w:rPr>
          <w:rFonts w:ascii="Arial" w:cs="Arial" w:eastAsia="Arial" w:hAnsi="Arial"/>
          <w:sz w:val="16"/>
          <w:szCs w:val="16"/>
          <w:color w:val="auto"/>
        </w:rPr>
        <w:t>Condensed Consolidated Statements of Cash Flows for the three months ended March 31, 2019 and 2018 (unaudited);</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w:t>
      </w:r>
      <w:r>
        <w:rPr>
          <w:rFonts w:ascii="Arial" w:cs="Arial" w:eastAsia="Arial" w:hAnsi="Arial"/>
          <w:sz w:val="16"/>
          <w:szCs w:val="16"/>
          <w:color w:val="auto"/>
        </w:rPr>
        <w:t>Notes to Condensed Consolidated Financial Statements.</w:t>
      </w:r>
    </w:p>
    <w:p>
      <w:pPr>
        <w:spacing w:after="0" w:line="39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80"/>
          </w:cols>
          <w:pgMar w:left="240" w:top="864" w:right="10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jc w:val="both"/>
        <w:ind w:right="100" w:firstLine="180"/>
        <w:spacing w:after="0" w:line="298" w:lineRule="auto"/>
        <w:rPr>
          <w:sz w:val="20"/>
          <w:szCs w:val="20"/>
          <w:color w:val="auto"/>
        </w:rPr>
      </w:pPr>
      <w:r>
        <w:rPr>
          <w:rFonts w:ascii="Arial" w:cs="Arial" w:eastAsia="Arial" w:hAnsi="Arial"/>
          <w:sz w:val="17"/>
          <w:szCs w:val="17"/>
          <w:color w:val="auto"/>
        </w:rPr>
        <w:t>Prepaid expenses Total Current Assets Property and equipment, net</w:t>
      </w: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right="740"/>
        <w:spacing w:after="0" w:line="265" w:lineRule="auto"/>
        <w:rPr>
          <w:sz w:val="20"/>
          <w:szCs w:val="20"/>
          <w:color w:val="auto"/>
        </w:rPr>
      </w:pPr>
      <w:r>
        <w:rPr>
          <w:rFonts w:ascii="Arial" w:cs="Arial" w:eastAsia="Arial" w:hAnsi="Arial"/>
          <w:sz w:val="17"/>
          <w:szCs w:val="17"/>
          <w:color w:val="auto"/>
        </w:rPr>
        <w:t>Goodwill Patent rights, net</w:t>
      </w:r>
    </w:p>
    <w:p>
      <w:pPr>
        <w:ind w:left="180"/>
        <w:spacing w:after="0"/>
        <w:rPr>
          <w:sz w:val="20"/>
          <w:szCs w:val="20"/>
          <w:color w:val="auto"/>
        </w:rPr>
      </w:pPr>
      <w:r>
        <w:rPr>
          <w:rFonts w:ascii="Arial" w:cs="Arial" w:eastAsia="Arial" w:hAnsi="Arial"/>
          <w:sz w:val="16"/>
          <w:szCs w:val="16"/>
          <w:color w:val="auto"/>
        </w:rPr>
        <w:t>Other intangible assets,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Right of use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assets and deposits</w:t>
      </w:r>
    </w:p>
    <w:p>
      <w:pPr>
        <w:spacing w:after="0" w:line="45" w:lineRule="exact"/>
        <w:rPr>
          <w:sz w:val="20"/>
          <w:szCs w:val="20"/>
          <w:color w:val="auto"/>
        </w:rPr>
      </w:pPr>
    </w:p>
    <w:p>
      <w:pPr>
        <w:ind w:right="800"/>
        <w:spacing w:after="0" w:line="377" w:lineRule="auto"/>
        <w:rPr>
          <w:sz w:val="20"/>
          <w:szCs w:val="20"/>
          <w:color w:val="auto"/>
        </w:rPr>
      </w:pPr>
      <w:r>
        <w:rPr>
          <w:rFonts w:ascii="Arial" w:cs="Arial" w:eastAsia="Arial" w:hAnsi="Arial"/>
          <w:sz w:val="16"/>
          <w:szCs w:val="16"/>
          <w:color w:val="auto"/>
        </w:rPr>
        <w:t>Total Other Assets TOTAL ASSETS</w:t>
      </w:r>
    </w:p>
    <w:p>
      <w:pPr>
        <w:spacing w:after="0" w:line="20" w:lineRule="exact"/>
        <w:rPr>
          <w:sz w:val="20"/>
          <w:szCs w:val="20"/>
          <w:color w:val="auto"/>
        </w:rPr>
      </w:pPr>
      <w:r>
        <w:rPr>
          <w:sz w:val="20"/>
          <w:szCs w:val="20"/>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23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31,</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0"/>
        </w:trPr>
        <w:tc>
          <w:tcPr>
            <w:tcW w:w="4900" w:type="dxa"/>
            <w:vAlign w:val="bottom"/>
            <w:gridSpan w:val="2"/>
            <w:vMerge w:val="restart"/>
          </w:tcPr>
          <w:p>
            <w:pPr>
              <w:jc w:val="right"/>
              <w:ind w:right="4240"/>
              <w:spacing w:after="0"/>
              <w:rPr>
                <w:sz w:val="20"/>
                <w:szCs w:val="20"/>
                <w:color w:val="auto"/>
              </w:rPr>
            </w:pPr>
            <w:r>
              <w:rPr>
                <w:rFonts w:ascii="Arial" w:cs="Arial" w:eastAsia="Arial" w:hAnsi="Arial"/>
                <w:sz w:val="18"/>
                <w:szCs w:val="18"/>
                <w:b w:val="1"/>
                <w:bCs w:val="1"/>
                <w:color w:val="auto"/>
                <w:w w:val="88"/>
              </w:rPr>
              <w:t>ASSETS</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0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10,133,940</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8,914,034</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4,902,888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6,457,841</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446,022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360,146</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15,482,850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15,732,021</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146,543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149,330</w:t>
            </w:r>
          </w:p>
        </w:tc>
        <w:tc>
          <w:tcPr>
            <w:tcW w:w="0" w:type="dxa"/>
            <w:vAlign w:val="bottom"/>
          </w:tcPr>
          <w:p>
            <w:pPr>
              <w:spacing w:after="0"/>
              <w:rPr>
                <w:sz w:val="1"/>
                <w:szCs w:val="1"/>
                <w:color w:val="auto"/>
              </w:rPr>
            </w:pPr>
          </w:p>
        </w:tc>
      </w:tr>
      <w:tr>
        <w:trPr>
          <w:trHeight w:val="418"/>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3,678,513</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3,678,513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2,712,855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2,766,944</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2,397,791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2,492,123</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644,335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193,972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235,647</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9,627,466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9,173,227</w:t>
            </w:r>
          </w:p>
        </w:tc>
        <w:tc>
          <w:tcPr>
            <w:tcW w:w="0" w:type="dxa"/>
            <w:vAlign w:val="bottom"/>
          </w:tcPr>
          <w:p>
            <w:pPr>
              <w:spacing w:after="0"/>
              <w:rPr>
                <w:sz w:val="1"/>
                <w:szCs w:val="1"/>
                <w:color w:val="auto"/>
              </w:rPr>
            </w:pPr>
          </w:p>
        </w:tc>
      </w:tr>
      <w:tr>
        <w:trPr>
          <w:trHeight w:val="250"/>
        </w:trPr>
        <w:tc>
          <w:tcPr>
            <w:tcW w:w="4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25,256,859</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25,054,578</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2" w:lineRule="exact"/>
        <w:rPr>
          <w:sz w:val="20"/>
          <w:szCs w:val="20"/>
          <w:color w:val="auto"/>
        </w:rPr>
      </w:pPr>
    </w:p>
    <w:p>
      <w:pPr>
        <w:sectPr>
          <w:pgSz w:w="11900" w:h="16838" w:orient="portrait"/>
          <w:cols w:equalWidth="0" w:num="2">
            <w:col w:w="2140" w:space="260"/>
            <w:col w:w="8980"/>
          </w:cols>
          <w:pgMar w:left="240" w:top="864" w:right="279" w:bottom="1440" w:gutter="0" w:footer="0" w:header="0"/>
        </w:sectPr>
      </w:pPr>
    </w:p>
    <w:tbl>
      <w:tblPr>
        <w:tblLayout w:type="fixed"/>
        <w:tblInd w:w="0" w:type="dxa"/>
        <w:tblCellMar>
          <w:top w:w="0" w:type="dxa"/>
          <w:left w:w="0" w:type="dxa"/>
          <w:bottom w:w="0" w:type="dxa"/>
          <w:right w:w="0" w:type="dxa"/>
        </w:tblCellMar>
      </w:tblPr>
      <w:tr>
        <w:trPr>
          <w:trHeight w:val="207"/>
        </w:trPr>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584,820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411,010</w:t>
            </w:r>
          </w:p>
        </w:tc>
        <w:tc>
          <w:tcPr>
            <w:tcW w:w="6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291,456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1,300,882</w:t>
            </w:r>
          </w:p>
        </w:tc>
        <w:tc>
          <w:tcPr>
            <w:tcW w:w="6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1,132,102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1,908,616</w:t>
            </w:r>
          </w:p>
        </w:tc>
        <w:tc>
          <w:tcPr>
            <w:tcW w:w="6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110,065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1,092,000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1"/>
        </w:trPr>
        <w:tc>
          <w:tcPr>
            <w:tcW w:w="85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645,824</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610,625</w:t>
            </w:r>
          </w:p>
        </w:tc>
        <w:tc>
          <w:tcPr>
            <w:tcW w:w="60" w:type="dxa"/>
            <w:vAlign w:val="bottom"/>
          </w:tcPr>
          <w:p>
            <w:pPr>
              <w:spacing w:after="0"/>
              <w:rPr>
                <w:sz w:val="21"/>
                <w:szCs w:val="21"/>
                <w:color w:val="auto"/>
              </w:rPr>
            </w:pPr>
          </w:p>
        </w:tc>
      </w:tr>
      <w:tr>
        <w:trPr>
          <w:trHeight w:val="223"/>
        </w:trPr>
        <w:tc>
          <w:tcPr>
            <w:tcW w:w="8560" w:type="dxa"/>
            <w:vAlign w:val="bottom"/>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3,856,267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4,231,133</w:t>
            </w:r>
          </w:p>
        </w:tc>
        <w:tc>
          <w:tcPr>
            <w:tcW w:w="60" w:type="dxa"/>
            <w:vAlign w:val="bottom"/>
          </w:tcPr>
          <w:p>
            <w:pPr>
              <w:spacing w:after="0"/>
              <w:rPr>
                <w:sz w:val="19"/>
                <w:szCs w:val="19"/>
                <w:color w:val="auto"/>
              </w:rPr>
            </w:pPr>
          </w:p>
        </w:tc>
      </w:tr>
      <w:tr>
        <w:trPr>
          <w:trHeight w:val="202"/>
        </w:trPr>
        <w:tc>
          <w:tcPr>
            <w:tcW w:w="8560" w:type="dxa"/>
            <w:vAlign w:val="bottom"/>
          </w:tcPr>
          <w:p>
            <w:pPr>
              <w:spacing w:after="0" w:line="201" w:lineRule="exact"/>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537,716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1"/>
        </w:trPr>
        <w:tc>
          <w:tcPr>
            <w:tcW w:w="8560" w:type="dxa"/>
            <w:vAlign w:val="bottom"/>
          </w:tcPr>
          <w:p>
            <w:pPr>
              <w:ind w:left="180"/>
              <w:spacing w:after="0"/>
              <w:rPr>
                <w:sz w:val="20"/>
                <w:szCs w:val="20"/>
                <w:color w:val="auto"/>
              </w:rPr>
            </w:pPr>
            <w:r>
              <w:rPr>
                <w:rFonts w:ascii="Arial" w:cs="Arial" w:eastAsia="Arial" w:hAnsi="Arial"/>
                <w:sz w:val="18"/>
                <w:szCs w:val="18"/>
                <w:color w:val="auto"/>
              </w:rPr>
              <w:t>Contingent purchase price payable, net of current portion</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1,421,000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2,365,000</w:t>
            </w:r>
          </w:p>
        </w:tc>
        <w:tc>
          <w:tcPr>
            <w:tcW w:w="60" w:type="dxa"/>
            <w:vAlign w:val="bottom"/>
          </w:tcPr>
          <w:p>
            <w:pPr>
              <w:spacing w:after="0"/>
              <w:rPr>
                <w:sz w:val="21"/>
                <w:szCs w:val="21"/>
                <w:color w:val="auto"/>
              </w:rPr>
            </w:pPr>
          </w:p>
        </w:tc>
      </w:tr>
      <w:tr>
        <w:trPr>
          <w:trHeight w:val="223"/>
        </w:trPr>
        <w:tc>
          <w:tcPr>
            <w:tcW w:w="8560" w:type="dxa"/>
            <w:vAlign w:val="bottom"/>
          </w:tcPr>
          <w:p>
            <w:pPr>
              <w:ind w:left="180"/>
              <w:spacing w:after="0" w:line="203" w:lineRule="exact"/>
              <w:rPr>
                <w:sz w:val="20"/>
                <w:szCs w:val="20"/>
                <w:color w:val="auto"/>
              </w:rPr>
            </w:pPr>
            <w:r>
              <w:rPr>
                <w:rFonts w:ascii="Arial" w:cs="Arial" w:eastAsia="Arial" w:hAnsi="Arial"/>
                <w:sz w:val="18"/>
                <w:szCs w:val="18"/>
                <w:color w:val="auto"/>
              </w:rPr>
              <w:t>Total Non-current liabilities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1,958,716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2,365,000</w:t>
            </w:r>
          </w:p>
        </w:tc>
        <w:tc>
          <w:tcPr>
            <w:tcW w:w="60" w:type="dxa"/>
            <w:vAlign w:val="bottom"/>
          </w:tcPr>
          <w:p>
            <w:pPr>
              <w:spacing w:after="0"/>
              <w:rPr>
                <w:sz w:val="19"/>
                <w:szCs w:val="19"/>
                <w:color w:val="auto"/>
              </w:rPr>
            </w:pPr>
          </w:p>
        </w:tc>
      </w:tr>
      <w:tr>
        <w:trPr>
          <w:trHeight w:val="202"/>
        </w:trPr>
        <w:tc>
          <w:tcPr>
            <w:tcW w:w="8560" w:type="dxa"/>
            <w:vAlign w:val="bottom"/>
          </w:tcPr>
          <w:p>
            <w:pPr>
              <w:spacing w:after="0" w:line="201" w:lineRule="exact"/>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5,814,983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6,596,133</w:t>
            </w:r>
          </w:p>
        </w:tc>
        <w:tc>
          <w:tcPr>
            <w:tcW w:w="60" w:type="dxa"/>
            <w:vAlign w:val="bottom"/>
          </w:tcPr>
          <w:p>
            <w:pPr>
              <w:spacing w:after="0"/>
              <w:rPr>
                <w:sz w:val="17"/>
                <w:szCs w:val="17"/>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w w:val="92"/>
              </w:rPr>
              <w:t>Preferred stock, $0.001 par value, 10,000,000 shares authorized, no issued and outstanding at March 31, 2019 or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December 31, 2018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w w:val="92"/>
              </w:rPr>
              <w:t>Common stock, $0.001 par value, 500,000,000 shares authorized, 12,278,833 and 12,038,618 shares issued and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outstanding at March 31, 2019 and December 31, 2018, respectively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12,279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12,039</w:t>
            </w:r>
          </w:p>
        </w:tc>
        <w:tc>
          <w:tcPr>
            <w:tcW w:w="60" w:type="dxa"/>
            <w:vAlign w:val="bottom"/>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49,705,102</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48,725,211</w:t>
            </w:r>
          </w:p>
        </w:tc>
      </w:tr>
      <w:tr>
        <w:trPr>
          <w:trHeight w:val="251"/>
        </w:trPr>
        <w:tc>
          <w:tcPr>
            <w:tcW w:w="85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(30,275,505)</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(30,278,805)</w:t>
            </w:r>
          </w:p>
        </w:tc>
      </w:tr>
      <w:tr>
        <w:trPr>
          <w:trHeight w:val="223"/>
        </w:trPr>
        <w:tc>
          <w:tcPr>
            <w:tcW w:w="856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19,441,876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18,458,445</w:t>
            </w:r>
          </w:p>
        </w:tc>
        <w:tc>
          <w:tcPr>
            <w:tcW w:w="60" w:type="dxa"/>
            <w:vAlign w:val="bottom"/>
          </w:tcPr>
          <w:p>
            <w:pPr>
              <w:spacing w:after="0"/>
              <w:rPr>
                <w:sz w:val="19"/>
                <w:szCs w:val="19"/>
                <w:color w:val="auto"/>
              </w:rPr>
            </w:pPr>
          </w:p>
        </w:tc>
      </w:tr>
      <w:tr>
        <w:trPr>
          <w:trHeight w:val="250"/>
        </w:trPr>
        <w:tc>
          <w:tcPr>
            <w:tcW w:w="856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25,256,859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25,054,578</w:t>
            </w:r>
          </w:p>
        </w:tc>
        <w:tc>
          <w:tcPr>
            <w:tcW w:w="60" w:type="dxa"/>
            <w:vAlign w:val="bottom"/>
          </w:tcPr>
          <w:p>
            <w:pPr>
              <w:spacing w:after="0"/>
              <w:rPr>
                <w:sz w:val="21"/>
                <w:szCs w:val="21"/>
                <w:color w:val="auto"/>
              </w:rPr>
            </w:pPr>
          </w:p>
        </w:tc>
      </w:tr>
      <w:tr>
        <w:trPr>
          <w:trHeight w:val="21"/>
        </w:trPr>
        <w:tc>
          <w:tcPr>
            <w:tcW w:w="8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64" w:right="279" w:bottom="1440" w:gutter="0" w:footer="0" w:header="0"/>
          <w:type w:val="continuous"/>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1"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5715</wp:posOffset>
            </wp:positionV>
            <wp:extent cx="15862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5" w:lineRule="exact"/>
        <w:rPr>
          <w:sz w:val="20"/>
          <w:szCs w:val="20"/>
          <w:color w:val="auto"/>
        </w:rPr>
      </w:pPr>
    </w:p>
    <w:p>
      <w:pPr>
        <w:ind w:left="9200"/>
        <w:spacing w:after="0"/>
        <w:tabs>
          <w:tab w:leader="none" w:pos="1054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14605</wp:posOffset>
            </wp:positionV>
            <wp:extent cx="15862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TOTAL REVENUE</w:t>
            </w:r>
          </w:p>
        </w:tc>
        <w:tc>
          <w:tcPr>
            <w:tcW w:w="478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$5,209,434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4,112,237</w:t>
            </w:r>
          </w:p>
        </w:tc>
      </w:tr>
      <w:tr>
        <w:trPr>
          <w:trHeight w:val="244"/>
        </w:trPr>
        <w:tc>
          <w:tcPr>
            <w:tcW w:w="5280" w:type="dxa"/>
            <w:vAlign w:val="bottom"/>
          </w:tcPr>
          <w:p>
            <w:pPr>
              <w:spacing w:after="0"/>
              <w:rPr>
                <w:sz w:val="20"/>
                <w:szCs w:val="20"/>
                <w:color w:val="auto"/>
              </w:rPr>
            </w:pPr>
            <w:r>
              <w:rPr>
                <w:rFonts w:ascii="Arial" w:cs="Arial" w:eastAsia="Arial" w:hAnsi="Arial"/>
                <w:sz w:val="18"/>
                <w:szCs w:val="18"/>
                <w:color w:val="auto"/>
              </w:rPr>
              <w:t>COST OF REVENUES</w:t>
            </w:r>
          </w:p>
        </w:tc>
        <w:tc>
          <w:tcPr>
            <w:tcW w:w="35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1,583,480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2,008,092</w:t>
            </w:r>
          </w:p>
        </w:tc>
      </w:tr>
      <w:tr>
        <w:trPr>
          <w:trHeight w:val="27"/>
        </w:trPr>
        <w:tc>
          <w:tcPr>
            <w:tcW w:w="52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80"/>
          </w:cols>
          <w:pgMar w:left="240" w:top="864" w:right="279" w:bottom="1440" w:gutter="0" w:footer="0" w:header="0"/>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(LOSS)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Fair Value of Contingent Consideration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OTHER INCOME (EXPENSE)</w:t>
      </w:r>
    </w:p>
    <w:p>
      <w:pPr>
        <w:spacing w:after="0" w:line="50" w:lineRule="exact"/>
        <w:rPr>
          <w:sz w:val="20"/>
          <w:szCs w:val="20"/>
          <w:color w:val="auto"/>
        </w:rPr>
      </w:pPr>
    </w:p>
    <w:p>
      <w:pPr>
        <w:ind w:right="3280"/>
        <w:spacing w:after="0" w:line="266" w:lineRule="auto"/>
        <w:rPr>
          <w:sz w:val="20"/>
          <w:szCs w:val="20"/>
          <w:color w:val="auto"/>
        </w:rPr>
      </w:pPr>
      <w:r>
        <w:rPr>
          <w:rFonts w:ascii="Arial" w:cs="Arial" w:eastAsia="Arial" w:hAnsi="Arial"/>
          <w:sz w:val="18"/>
          <w:szCs w:val="18"/>
          <w:color w:val="auto"/>
        </w:rPr>
        <w:t>INCOME (LOSS) BEFORE PROVISION FOR INCOME TAXES PROVISION FOR INCOME TAXES</w:t>
      </w: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3,625,954</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2,104,145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3,493,789</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2,295,341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132,165</w:t>
            </w: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(191,196)</w:t>
            </w:r>
          </w:p>
        </w:tc>
        <w:tc>
          <w:tcPr>
            <w:tcW w:w="0" w:type="dxa"/>
            <w:vAlign w:val="bottom"/>
          </w:tcPr>
          <w:p>
            <w:pPr>
              <w:spacing w:after="0"/>
              <w:rPr>
                <w:sz w:val="1"/>
                <w:szCs w:val="1"/>
                <w:color w:val="auto"/>
              </w:rPr>
            </w:pPr>
          </w:p>
        </w:tc>
      </w:tr>
      <w:tr>
        <w:trPr>
          <w:trHeight w:val="634"/>
        </w:trPr>
        <w:tc>
          <w:tcPr>
            <w:tcW w:w="2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22,364</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(148,000)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(125,636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6,529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(189,179</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560"/>
          </w:cols>
          <w:pgMar w:left="240" w:top="864" w:right="27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6360" w:type="dxa"/>
            <w:vAlign w:val="bottom"/>
          </w:tcPr>
          <w:p>
            <w:pPr>
              <w:ind w:left="180"/>
              <w:spacing w:after="0"/>
              <w:rPr>
                <w:sz w:val="20"/>
                <w:szCs w:val="20"/>
                <w:color w:val="auto"/>
              </w:rPr>
            </w:pPr>
            <w:r>
              <w:rPr>
                <w:rFonts w:ascii="Arial" w:cs="Arial" w:eastAsia="Arial" w:hAnsi="Arial"/>
                <w:sz w:val="18"/>
                <w:szCs w:val="18"/>
                <w:color w:val="auto"/>
              </w:rPr>
              <w:t>BASIC</w:t>
            </w: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12,077,829</w:t>
            </w: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9,786,027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36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4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36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13,077,917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9,786,027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36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2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36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360" w:type="dxa"/>
            <w:vAlign w:val="bottom"/>
          </w:tcPr>
          <w:p>
            <w:pPr>
              <w:ind w:left="180"/>
              <w:spacing w:after="0"/>
              <w:rPr>
                <w:sz w:val="20"/>
                <w:szCs w:val="20"/>
                <w:color w:val="auto"/>
              </w:rPr>
            </w:pPr>
            <w:r>
              <w:rPr>
                <w:rFonts w:ascii="Arial" w:cs="Arial" w:eastAsia="Arial" w:hAnsi="Arial"/>
                <w:sz w:val="18"/>
                <w:szCs w:val="18"/>
                <w:color w:val="auto"/>
              </w:rPr>
              <w:t>BASIC</w:t>
            </w:r>
          </w:p>
        </w:tc>
        <w:tc>
          <w:tcPr>
            <w:tcW w:w="2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6360" w:type="dxa"/>
            <w:vAlign w:val="bottom"/>
            <w:vMerge w:val="continue"/>
          </w:tcPr>
          <w:p>
            <w:pPr>
              <w:spacing w:after="0"/>
              <w:rPr>
                <w:sz w:val="21"/>
                <w:szCs w:val="21"/>
                <w:color w:val="auto"/>
              </w:rPr>
            </w:pPr>
          </w:p>
        </w:tc>
        <w:tc>
          <w:tcPr>
            <w:tcW w:w="2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64" w:right="279" w:bottom="1440" w:gutter="0" w:footer="0" w:header="0"/>
          <w:type w:val="continuous"/>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700" w:type="dxa"/>
            <w:vAlign w:val="bottom"/>
          </w:tcPr>
          <w:p>
            <w:pPr>
              <w:spacing w:after="0"/>
              <w:rPr>
                <w:sz w:val="21"/>
                <w:szCs w:val="21"/>
                <w:color w:val="auto"/>
              </w:rPr>
            </w:pPr>
          </w:p>
        </w:tc>
        <w:tc>
          <w:tcPr>
            <w:tcW w:w="2660" w:type="dxa"/>
            <w:vAlign w:val="bottom"/>
            <w:gridSpan w:val="6"/>
          </w:tcPr>
          <w:p>
            <w:pPr>
              <w:jc w:val="right"/>
              <w:ind w:right="8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Paid in</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1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Shares</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Capital</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Balance January 1, 2019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12,038,618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12,039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48,725,211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(30,278,805)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18,458,445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w w:val="96"/>
              </w:rPr>
              <w:t>Cumulative effect of change in accounting principle related to</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lease accounting</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(3,229)</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for restricted stock awards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130,001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101,878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343,683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as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8,336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106,026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530,312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6,529</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4700" w:type="dxa"/>
            <w:vAlign w:val="bottom"/>
          </w:tcPr>
          <w:p>
            <w:pPr>
              <w:spacing w:after="0"/>
              <w:rPr>
                <w:sz w:val="20"/>
                <w:szCs w:val="20"/>
                <w:color w:val="auto"/>
              </w:rPr>
            </w:pPr>
            <w:r>
              <w:rPr>
                <w:rFonts w:ascii="Arial" w:cs="Arial" w:eastAsia="Arial" w:hAnsi="Arial"/>
                <w:sz w:val="18"/>
                <w:szCs w:val="18"/>
                <w:color w:val="auto"/>
              </w:rPr>
              <w:t>Balance March 31, 2019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12,278,833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12,279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49,705,102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(30,275,505</w:t>
            </w:r>
            <w:r>
              <w:rPr>
                <w:rFonts w:ascii="Arial" w:cs="Arial" w:eastAsia="Arial" w:hAnsi="Arial"/>
                <w:sz w:val="36"/>
                <w:szCs w:val="36"/>
                <w:color w:val="auto"/>
                <w:w w:val="96"/>
                <w:vertAlign w:val="superscript"/>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19,441,876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700" w:type="dxa"/>
            <w:vAlign w:val="bottom"/>
          </w:tcPr>
          <w:p>
            <w:pPr>
              <w:spacing w:after="0"/>
              <w:rPr>
                <w:sz w:val="24"/>
                <w:szCs w:val="24"/>
                <w:color w:val="auto"/>
              </w:rPr>
            </w:pPr>
          </w:p>
        </w:tc>
        <w:tc>
          <w:tcPr>
            <w:tcW w:w="2660" w:type="dxa"/>
            <w:vAlign w:val="bottom"/>
            <w:gridSpan w:val="6"/>
            <w:vMerge w:val="restart"/>
          </w:tcPr>
          <w:p>
            <w:pPr>
              <w:jc w:val="right"/>
              <w:ind w:right="8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660" w:type="dxa"/>
            <w:vAlign w:val="bottom"/>
            <w:gridSpan w:val="6"/>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Paid in</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1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Shares</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Capital</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Balance January 1, 2018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9,772,694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9,773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36,573,888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(30,363,122)</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6,078,512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w w:val="96"/>
              </w:rPr>
              <w:t>Cumulative effect of change in accounting principle related to</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revenue recognition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(142,027)</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(142,027)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for revenue share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446,900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as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6,249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28,869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468,247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(189,179)</w:t>
            </w:r>
          </w:p>
        </w:tc>
        <w:tc>
          <w:tcPr>
            <w:tcW w:w="2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(189,179)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4700" w:type="dxa"/>
            <w:vAlign w:val="bottom"/>
          </w:tcPr>
          <w:p>
            <w:pPr>
              <w:spacing w:after="0"/>
              <w:rPr>
                <w:sz w:val="20"/>
                <w:szCs w:val="20"/>
                <w:color w:val="auto"/>
              </w:rPr>
            </w:pPr>
            <w:r>
              <w:rPr>
                <w:rFonts w:ascii="Arial" w:cs="Arial" w:eastAsia="Arial" w:hAnsi="Arial"/>
                <w:sz w:val="18"/>
                <w:szCs w:val="18"/>
                <w:color w:val="auto"/>
              </w:rPr>
              <w:t>Balance March 31, 2018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9,878,943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9,879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37,517,904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(30,691,428</w:t>
            </w:r>
            <w:r>
              <w:rPr>
                <w:rFonts w:ascii="Arial" w:cs="Arial" w:eastAsia="Arial" w:hAnsi="Arial"/>
                <w:sz w:val="36"/>
                <w:szCs w:val="36"/>
                <w:color w:val="auto"/>
                <w:w w:val="96"/>
                <w:vertAlign w:val="superscript"/>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6,691,428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64" w:right="2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jc w:val="right"/>
              <w:ind w:right="480"/>
              <w:spacing w:after="0"/>
              <w:rPr>
                <w:sz w:val="20"/>
                <w:szCs w:val="20"/>
                <w:color w:val="auto"/>
              </w:rPr>
            </w:pPr>
            <w:r>
              <w:rPr>
                <w:rFonts w:ascii="Arial" w:cs="Arial" w:eastAsia="Arial" w:hAnsi="Arial"/>
                <w:sz w:val="18"/>
                <w:szCs w:val="18"/>
                <w:color w:val="auto"/>
              </w:rPr>
              <w:t>For the Three Months</w:t>
            </w:r>
          </w:p>
        </w:tc>
      </w:tr>
      <w:tr>
        <w:trPr>
          <w:trHeight w:val="237"/>
        </w:trPr>
        <w:tc>
          <w:tcPr>
            <w:tcW w:w="7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6"/>
          </w:tcPr>
          <w:p>
            <w:pPr>
              <w:jc w:val="right"/>
              <w:ind w:right="620"/>
              <w:spacing w:after="0"/>
              <w:rPr>
                <w:sz w:val="20"/>
                <w:szCs w:val="20"/>
                <w:color w:val="auto"/>
              </w:rPr>
            </w:pPr>
            <w:r>
              <w:rPr>
                <w:rFonts w:ascii="Arial" w:cs="Arial" w:eastAsia="Arial" w:hAnsi="Arial"/>
                <w:sz w:val="18"/>
                <w:szCs w:val="18"/>
                <w:color w:val="auto"/>
              </w:rPr>
              <w:t>Ended March 31,</w:t>
            </w:r>
          </w:p>
        </w:tc>
      </w:tr>
      <w:tr>
        <w:trPr>
          <w:trHeight w:val="237"/>
        </w:trPr>
        <w:tc>
          <w:tcPr>
            <w:tcW w:w="7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20"/>
                <w:szCs w:val="20"/>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6,529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(189,179)</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190,301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54,473</w:t>
            </w:r>
          </w:p>
        </w:tc>
        <w:tc>
          <w:tcPr>
            <w:tcW w:w="60" w:type="dxa"/>
            <w:vAlign w:val="bottom"/>
          </w:tcPr>
          <w:p>
            <w:pPr>
              <w:spacing w:after="0"/>
              <w:rPr>
                <w:sz w:val="18"/>
                <w:szCs w:val="18"/>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530,312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468,247</w:t>
            </w:r>
          </w:p>
        </w:tc>
        <w:tc>
          <w:tcPr>
            <w:tcW w:w="60" w:type="dxa"/>
            <w:vAlign w:val="bottom"/>
          </w:tcPr>
          <w:p>
            <w:pPr>
              <w:spacing w:after="0"/>
              <w:rPr>
                <w:sz w:val="18"/>
                <w:szCs w:val="18"/>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Stock issued for services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106,034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28,875</w:t>
            </w:r>
          </w:p>
        </w:tc>
        <w:tc>
          <w:tcPr>
            <w:tcW w:w="60" w:type="dxa"/>
            <w:vAlign w:val="bottom"/>
          </w:tcPr>
          <w:p>
            <w:pPr>
              <w:spacing w:after="0"/>
              <w:rPr>
                <w:sz w:val="18"/>
                <w:szCs w:val="18"/>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148,000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Changes in:</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1,554,953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(414,508)</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(44,201)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64,015</w:t>
            </w:r>
          </w:p>
        </w:tc>
        <w:tc>
          <w:tcPr>
            <w:tcW w:w="60" w:type="dxa"/>
            <w:vAlign w:val="bottom"/>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173,810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(323,419)</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(776,514)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(279,328)</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(1,034,454)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(404,291)</w:t>
            </w:r>
          </w:p>
        </w:tc>
      </w:tr>
      <w:tr>
        <w:trPr>
          <w:trHeight w:val="251"/>
        </w:trPr>
        <w:tc>
          <w:tcPr>
            <w:tcW w:w="79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35,199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207,727</w:t>
            </w:r>
          </w:p>
        </w:tc>
        <w:tc>
          <w:tcPr>
            <w:tcW w:w="60" w:type="dxa"/>
            <w:vAlign w:val="bottom"/>
          </w:tcPr>
          <w:p>
            <w:pPr>
              <w:spacing w:after="0"/>
              <w:rPr>
                <w:sz w:val="21"/>
                <w:szCs w:val="21"/>
                <w:color w:val="auto"/>
              </w:rPr>
            </w:pPr>
          </w:p>
        </w:tc>
      </w:tr>
      <w:tr>
        <w:trPr>
          <w:trHeight w:val="223"/>
        </w:trPr>
        <w:tc>
          <w:tcPr>
            <w:tcW w:w="7980" w:type="dxa"/>
            <w:vAlign w:val="bottom"/>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8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889,969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(787,388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198" w:lineRule="exact"/>
        <w:rPr>
          <w:sz w:val="20"/>
          <w:szCs w:val="20"/>
          <w:color w:val="auto"/>
        </w:rPr>
      </w:pPr>
    </w:p>
    <w:p>
      <w:pPr>
        <w:sectPr>
          <w:pgSz w:w="11900" w:h="16838" w:orient="portrait"/>
          <w:cols w:equalWidth="0" w:num="1">
            <w:col w:w="11380"/>
          </w:cols>
          <w:pgMar w:left="240" w:top="864" w:right="279" w:bottom="1440" w:gutter="0" w:footer="0" w:header="0"/>
        </w:sect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Development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exercise of stock options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w:t>
      </w:r>
    </w:p>
    <w:p>
      <w:pPr>
        <w:spacing w:after="0" w:line="50" w:lineRule="exact"/>
        <w:rPr>
          <w:sz w:val="20"/>
          <w:szCs w:val="20"/>
          <w:color w:val="auto"/>
        </w:rPr>
      </w:pPr>
    </w:p>
    <w:p>
      <w:pPr>
        <w:ind w:right="2740"/>
        <w:spacing w:after="0" w:line="303" w:lineRule="auto"/>
        <w:rPr>
          <w:sz w:val="20"/>
          <w:szCs w:val="20"/>
          <w:color w:val="auto"/>
        </w:rPr>
      </w:pPr>
      <w:r>
        <w:rPr>
          <w:rFonts w:ascii="Arial" w:cs="Arial" w:eastAsia="Arial" w:hAnsi="Arial"/>
          <w:sz w:val="17"/>
          <w:szCs w:val="17"/>
          <w:color w:val="auto"/>
        </w:rPr>
        <w:t>NET INCREASE (DECREASE) IN CASH AND CASH EQUIVALENTS CASH AND CASH EQUIVALENTS - BEGINNING OF PERIOD CASH AND CASH EQUIVALENTS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left="580"/>
        <w:spacing w:after="0"/>
        <w:tabs>
          <w:tab w:leader="none" w:pos="2000" w:val="left"/>
        </w:tabs>
        <w:rPr>
          <w:sz w:val="20"/>
          <w:szCs w:val="20"/>
          <w:color w:val="auto"/>
        </w:rPr>
      </w:pPr>
      <w:r>
        <w:rPr>
          <w:rFonts w:ascii="Arial" w:cs="Arial" w:eastAsia="Arial" w:hAnsi="Arial"/>
          <w:sz w:val="18"/>
          <w:szCs w:val="18"/>
          <w:color w:val="auto"/>
        </w:rPr>
        <w:t>(13,848)</w:t>
      </w:r>
      <w:r>
        <w:rPr>
          <w:sz w:val="20"/>
          <w:szCs w:val="20"/>
          <w:color w:val="auto"/>
        </w:rPr>
        <w:tab/>
      </w:r>
      <w:r>
        <w:rPr>
          <w:rFonts w:ascii="Arial" w:cs="Arial" w:eastAsia="Arial" w:hAnsi="Arial"/>
          <w:sz w:val="18"/>
          <w:szCs w:val="18"/>
          <w:color w:val="auto"/>
        </w:rPr>
        <w:t>(3,803)</w:t>
      </w:r>
    </w:p>
    <w:p>
      <w:pPr>
        <w:spacing w:after="0" w:line="23" w:lineRule="exact"/>
        <w:rPr>
          <w:sz w:val="20"/>
          <w:szCs w:val="20"/>
          <w:color w:val="auto"/>
        </w:rPr>
      </w:pPr>
    </w:p>
    <w:p>
      <w:pPr>
        <w:ind w:left="1940" w:hanging="859"/>
        <w:spacing w:after="0"/>
        <w:tabs>
          <w:tab w:leader="none" w:pos="1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(32,763)</w:t>
      </w:r>
    </w:p>
    <w:p>
      <w:pPr>
        <w:spacing w:after="0" w:line="4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(13,848)</w:t>
      </w:r>
      <w:r>
        <w:rPr>
          <w:rFonts w:ascii="Arial" w:cs="Arial" w:eastAsia="Arial" w:hAnsi="Arial"/>
          <w:sz w:val="16"/>
          <w:szCs w:val="16"/>
          <w:color w:val="auto"/>
        </w:rPr>
        <w:t>(36,566)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15862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623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15862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60"/>
        <w:spacing w:after="0"/>
        <w:tabs>
          <w:tab w:leader="none" w:pos="2420" w:val="left"/>
        </w:tabs>
        <w:rPr>
          <w:sz w:val="20"/>
          <w:szCs w:val="20"/>
          <w:color w:val="auto"/>
        </w:rPr>
      </w:pPr>
      <w:r>
        <w:rPr>
          <w:rFonts w:ascii="Arial" w:cs="Arial" w:eastAsia="Arial" w:hAnsi="Arial"/>
          <w:sz w:val="18"/>
          <w:szCs w:val="18"/>
          <w:color w:val="auto"/>
        </w:rPr>
        <w:t>343,785</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560"/>
        <w:spacing w:after="0"/>
        <w:tabs>
          <w:tab w:leader="none" w:pos="2420" w:val="left"/>
        </w:tabs>
        <w:rPr>
          <w:sz w:val="20"/>
          <w:szCs w:val="20"/>
          <w:color w:val="auto"/>
        </w:rPr>
      </w:pPr>
      <w:r>
        <w:rPr>
          <w:rFonts w:ascii="Arial" w:cs="Arial" w:eastAsia="Arial" w:hAnsi="Arial"/>
          <w:sz w:val="18"/>
          <w:szCs w:val="18"/>
          <w:color w:val="auto"/>
        </w:rPr>
        <w:t>343,785</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jc w:val="both"/>
        <w:ind w:left="420"/>
        <w:spacing w:after="0"/>
        <w:tabs>
          <w:tab w:leader="none" w:pos="1820" w:val="left"/>
        </w:tabs>
        <w:rPr>
          <w:sz w:val="20"/>
          <w:szCs w:val="20"/>
          <w:color w:val="auto"/>
        </w:rPr>
      </w:pPr>
      <w:r>
        <w:rPr>
          <w:rFonts w:ascii="Arial" w:cs="Arial" w:eastAsia="Arial" w:hAnsi="Arial"/>
          <w:sz w:val="18"/>
          <w:szCs w:val="18"/>
          <w:color w:val="auto"/>
        </w:rPr>
        <w:t>1,219,906</w:t>
      </w:r>
      <w:r>
        <w:rPr>
          <w:sz w:val="20"/>
          <w:szCs w:val="20"/>
          <w:color w:val="auto"/>
        </w:rPr>
        <w:tab/>
      </w:r>
      <w:r>
        <w:rPr>
          <w:rFonts w:ascii="Arial" w:cs="Arial" w:eastAsia="Arial" w:hAnsi="Arial"/>
          <w:sz w:val="18"/>
          <w:szCs w:val="18"/>
          <w:color w:val="auto"/>
        </w:rPr>
        <w:t>(823,954)</w:t>
      </w:r>
    </w:p>
    <w:p>
      <w:pPr>
        <w:spacing w:after="0" w:line="23"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7"/>
          <w:szCs w:val="17"/>
          <w:color w:val="auto"/>
        </w:rPr>
        <w:t>8,914,034</w:t>
      </w:r>
      <w:r>
        <w:rPr>
          <w:sz w:val="20"/>
          <w:szCs w:val="20"/>
          <w:color w:val="auto"/>
        </w:rPr>
        <w:tab/>
      </w:r>
      <w:r>
        <w:rPr>
          <w:rFonts w:ascii="Arial" w:cs="Arial" w:eastAsia="Arial" w:hAnsi="Arial"/>
          <w:sz w:val="17"/>
          <w:szCs w:val="17"/>
          <w:color w:val="auto"/>
        </w:rPr>
        <w:t>5,122,573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15862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54" w:lineRule="exact"/>
        <w:rPr>
          <w:sz w:val="20"/>
          <w:szCs w:val="20"/>
          <w:color w:val="auto"/>
        </w:rPr>
      </w:pPr>
    </w:p>
    <w:p>
      <w:pPr>
        <w:spacing w:after="0"/>
        <w:tabs>
          <w:tab w:leader="none" w:pos="320" w:val="left"/>
          <w:tab w:leader="none" w:pos="1340" w:val="left"/>
          <w:tab w:leader="none" w:pos="176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10,133,940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4,298,619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14605</wp:posOffset>
            </wp:positionV>
            <wp:extent cx="7200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15862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8100" w:space="720"/>
            <w:col w:w="2560"/>
          </w:cols>
          <w:pgMar w:left="240" w:top="864" w:right="279" w:bottom="144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8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2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9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tcBorders>
            <w:gridSpan w:val="2"/>
          </w:tcPr>
          <w:p>
            <w:pPr>
              <w:spacing w:after="0" w:line="20" w:lineRule="exact"/>
              <w:rPr>
                <w:sz w:val="1"/>
                <w:szCs w:val="1"/>
                <w:color w:val="auto"/>
              </w:rPr>
            </w:pPr>
          </w:p>
        </w:tc>
        <w:tc>
          <w:tcPr>
            <w:tcW w:w="840" w:type="dxa"/>
            <w:vAlign w:val="bottom"/>
            <w:tcBorders>
              <w:top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8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Non-cash effect of issuance of shares related to net settled options</w:t>
            </w:r>
          </w:p>
        </w:tc>
        <w:tc>
          <w:tcPr>
            <w:tcW w:w="2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8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Non-cash effect of cumulative adjustments to accumulated deficit</w:t>
            </w:r>
          </w:p>
        </w:tc>
        <w:tc>
          <w:tcPr>
            <w:tcW w:w="2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8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Lease liabilities arising from right of use assets</w:t>
            </w:r>
          </w:p>
        </w:tc>
        <w:tc>
          <w:tcPr>
            <w:tcW w:w="2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8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Non-cash issuance of shares to WPP, plc</w:t>
            </w:r>
          </w:p>
        </w:tc>
        <w:tc>
          <w:tcPr>
            <w:tcW w:w="2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8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64" w:right="279" w:bottom="1440" w:gutter="0" w:footer="0" w:header="0"/>
          <w:type w:val="continuous"/>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accompanying condensed consolidated financial statements include OptimizeRx corporation and its wholly owned subsidiaries (collectively, the “Company”, “we”, “our”, or “us”).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services within their workflow at the point of care.</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consolidated condensed financial statements for the three months ended March 31, 2019 and 2018 have been prepared by us without audit pursuant to the rules and regulations of the U.S. Securities and Exchange Commission. In the opinion of management, all adjustments necessary to present fairly our financial position at March 31, 2019, and our results of operations, changes in stockholders’ equity, and cash flows for the three months ended March 31,</w:t>
      </w:r>
    </w:p>
    <w:p>
      <w:pPr>
        <w:ind w:right="80"/>
        <w:spacing w:after="0" w:line="261" w:lineRule="auto"/>
        <w:rPr>
          <w:sz w:val="20"/>
          <w:szCs w:val="20"/>
          <w:color w:val="auto"/>
        </w:rPr>
      </w:pPr>
      <w:r>
        <w:rPr>
          <w:rFonts w:ascii="Arial" w:cs="Arial" w:eastAsia="Arial" w:hAnsi="Arial"/>
          <w:sz w:val="18"/>
          <w:szCs w:val="18"/>
          <w:color w:val="auto"/>
        </w:rPr>
        <w:t>2019 and 2018, have been made. Those adjustments consist of normal and recurring adjustments. The condensed consolidated condensed balance sheet as of December 31, 2018, has been derived from the audited consolidated condensed balance sheet as of that date.</w:t>
      </w:r>
    </w:p>
    <w:p>
      <w:pPr>
        <w:spacing w:after="0" w:line="18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Certain information and note disclosures, including a detailed discussion about the Company’s significant accounting policies, normally included in our annual financial statements prepared in accordance with generally accepted accounting principles have been condensed or omitted. These consolidated condensed financial statements should be read in conjunction with a reading of the financial statements and notes thereto included in our Annual Report on Form 10-K for the fiscal year ended December 31, 2018, as filed with the U.S. Securities and Exchange Commission on March 12, 2019.</w:t>
      </w:r>
    </w:p>
    <w:p>
      <w:pPr>
        <w:spacing w:after="0" w:line="15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results of operations for the three-months ended March 31, 2019, are not necessarily indicative of the results to be expected for the full year. Certain reclassifications have been made in the prior period’s consolidated financial statements to conform to the current period’s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February 2016, the FASB issued new accounting guidance on leases. The accounting standard, effective January 1, 2019, requires virtually all leases to be recognized on the Balance Sheet. Effective January 1, 2019, we adopted the standard using the modified retrospective method, under which we elected the package of practical expedients and transition provisions allowing us to bring our existing operating leases onto the Consolidated Balance Sheet without adjusting comparative periods, but recognizing a cumulative-effect adjustment to the opening balance of accumulated deficit on January 1, 2019. Under the guidance, we have also elected not to separate lease and non-lease components in recognition of the lease-related assets and liabilities, as well as the related lease expense.</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operating leases for office space in three multitenant facilities, which are recorded as assets and liabilities for those leases with terms greater than 12 months. Certain leases contain renewal options and for the headquarters lease, we have assumed renewal. 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Operating lease expense is recognized on a straight-line basis over the lease term, while variable lease payments are expensed as incurred.</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Upon adoption of the standard on January 1, 2019, we recorded approximately $462,000 of right of use assets and $465,000 of lease-related liabilities, with the difference charged to accumulated deficit at that date.</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64" w:right="2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 (continued)</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three months ended March 31, 2019, the Company’s lease cost consists of the following components, each of which is included in operating expenses within the Company’s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64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41"/>
        </w:trPr>
        <w:tc>
          <w:tcPr>
            <w:tcW w:w="9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418"/>
        </w:trPr>
        <w:tc>
          <w:tcPr>
            <w:tcW w:w="9680" w:type="dxa"/>
            <w:vAlign w:val="bottom"/>
          </w:tcPr>
          <w:p>
            <w:pPr>
              <w:spacing w:after="0"/>
              <w:rPr>
                <w:sz w:val="20"/>
                <w:szCs w:val="20"/>
                <w:color w:val="auto"/>
              </w:rPr>
            </w:pPr>
            <w:r>
              <w:rPr>
                <w:rFonts w:ascii="Arial" w:cs="Arial" w:eastAsia="Arial" w:hAnsi="Arial"/>
                <w:sz w:val="18"/>
                <w:szCs w:val="18"/>
                <w:color w:val="auto"/>
              </w:rPr>
              <w:t>Operating lease cost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30,684</w:t>
            </w:r>
          </w:p>
        </w:tc>
        <w:tc>
          <w:tcPr>
            <w:tcW w:w="0" w:type="dxa"/>
            <w:vAlign w:val="bottom"/>
          </w:tcPr>
          <w:p>
            <w:pPr>
              <w:spacing w:after="0"/>
              <w:rPr>
                <w:sz w:val="1"/>
                <w:szCs w:val="1"/>
                <w:color w:val="auto"/>
              </w:rPr>
            </w:pPr>
          </w:p>
        </w:tc>
      </w:tr>
      <w:tr>
        <w:trPr>
          <w:trHeight w:val="251"/>
        </w:trPr>
        <w:tc>
          <w:tcPr>
            <w:tcW w:w="9680" w:type="dxa"/>
            <w:vAlign w:val="bottom"/>
          </w:tcPr>
          <w:p>
            <w:pPr>
              <w:spacing w:after="0"/>
              <w:rPr>
                <w:sz w:val="20"/>
                <w:szCs w:val="20"/>
                <w:color w:val="auto"/>
              </w:rPr>
            </w:pPr>
            <w:r>
              <w:rPr>
                <w:rFonts w:ascii="Arial" w:cs="Arial" w:eastAsia="Arial" w:hAnsi="Arial"/>
                <w:sz w:val="18"/>
                <w:szCs w:val="18"/>
                <w:color w:val="auto"/>
              </w:rPr>
              <w:t>Short-term lease cost (1)</w:t>
            </w: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9,841</w:t>
            </w:r>
          </w:p>
        </w:tc>
        <w:tc>
          <w:tcPr>
            <w:tcW w:w="0" w:type="dxa"/>
            <w:vAlign w:val="bottom"/>
          </w:tcPr>
          <w:p>
            <w:pPr>
              <w:spacing w:after="0"/>
              <w:rPr>
                <w:sz w:val="1"/>
                <w:szCs w:val="1"/>
                <w:color w:val="auto"/>
              </w:rPr>
            </w:pPr>
          </w:p>
        </w:tc>
      </w:tr>
      <w:tr>
        <w:trPr>
          <w:trHeight w:val="250"/>
        </w:trPr>
        <w:tc>
          <w:tcPr>
            <w:tcW w:w="9680" w:type="dxa"/>
            <w:vAlign w:val="bottom"/>
          </w:tcPr>
          <w:p>
            <w:pPr>
              <w:spacing w:after="0" w:line="203" w:lineRule="exact"/>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40,525</w:t>
            </w:r>
          </w:p>
        </w:tc>
        <w:tc>
          <w:tcPr>
            <w:tcW w:w="0" w:type="dxa"/>
            <w:vAlign w:val="bottom"/>
          </w:tcPr>
          <w:p>
            <w:pPr>
              <w:spacing w:after="0"/>
              <w:rPr>
                <w:sz w:val="1"/>
                <w:szCs w:val="1"/>
                <w:color w:val="auto"/>
              </w:rPr>
            </w:pPr>
          </w:p>
        </w:tc>
      </w:tr>
      <w:tr>
        <w:trPr>
          <w:trHeight w:val="21"/>
        </w:trPr>
        <w:tc>
          <w:tcPr>
            <w:tcW w:w="9680" w:type="dxa"/>
            <w:vAlign w:val="bottom"/>
            <w:vMerge w:val="restart"/>
          </w:tcPr>
          <w:p>
            <w:pPr>
              <w:spacing w:after="0"/>
              <w:rPr>
                <w:sz w:val="20"/>
                <w:szCs w:val="20"/>
                <w:color w:val="auto"/>
              </w:rPr>
            </w:pPr>
            <w:r>
              <w:rPr>
                <w:rFonts w:ascii="Arial" w:cs="Arial" w:eastAsia="Arial" w:hAnsi="Arial"/>
                <w:sz w:val="18"/>
                <w:szCs w:val="18"/>
                <w:color w:val="auto"/>
              </w:rPr>
              <w:t>(1) Short-term lease cost includes any lease with a term of less than 12 months.</w:t>
            </w: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96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80" w:type="dxa"/>
            <w:vAlign w:val="bottom"/>
          </w:tcPr>
          <w:p>
            <w:pPr>
              <w:spacing w:after="0"/>
              <w:rPr>
                <w:sz w:val="20"/>
                <w:szCs w:val="20"/>
                <w:color w:val="auto"/>
              </w:rPr>
            </w:pPr>
            <w:r>
              <w:rPr>
                <w:rFonts w:ascii="Arial" w:cs="Arial" w:eastAsia="Arial" w:hAnsi="Arial"/>
                <w:sz w:val="18"/>
                <w:szCs w:val="18"/>
                <w:color w:val="auto"/>
              </w:rPr>
              <w:t>The table below presents the future minimum lease payments to be made under operating leases as of March 31, 2019:</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March 31, 2019</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680" w:type="dxa"/>
            <w:vAlign w:val="bottom"/>
          </w:tcPr>
          <w:p>
            <w:pPr>
              <w:spacing w:after="0"/>
              <w:rPr>
                <w:sz w:val="20"/>
                <w:szCs w:val="20"/>
                <w:color w:val="auto"/>
              </w:rPr>
            </w:pPr>
            <w:r>
              <w:rPr>
                <w:rFonts w:ascii="Arial" w:cs="Arial" w:eastAsia="Arial" w:hAnsi="Arial"/>
                <w:sz w:val="18"/>
                <w:szCs w:val="18"/>
                <w:color w:val="auto"/>
              </w:rPr>
              <w:t>2019(a)</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102,012</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138,533</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140,881</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102,881</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99,722</w:t>
            </w:r>
          </w:p>
        </w:tc>
        <w:tc>
          <w:tcPr>
            <w:tcW w:w="0" w:type="dxa"/>
            <w:vAlign w:val="bottom"/>
          </w:tcPr>
          <w:p>
            <w:pPr>
              <w:spacing w:after="0"/>
              <w:rPr>
                <w:sz w:val="1"/>
                <w:szCs w:val="1"/>
                <w:color w:val="auto"/>
              </w:rPr>
            </w:pPr>
          </w:p>
        </w:tc>
      </w:tr>
      <w:tr>
        <w:trPr>
          <w:trHeight w:val="251"/>
        </w:trPr>
        <w:tc>
          <w:tcPr>
            <w:tcW w:w="9680" w:type="dxa"/>
            <w:vAlign w:val="bottom"/>
          </w:tcPr>
          <w:p>
            <w:pPr>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150,684</w:t>
            </w:r>
          </w:p>
        </w:tc>
        <w:tc>
          <w:tcPr>
            <w:tcW w:w="0" w:type="dxa"/>
            <w:vAlign w:val="bottom"/>
          </w:tcPr>
          <w:p>
            <w:pPr>
              <w:spacing w:after="0"/>
              <w:rPr>
                <w:sz w:val="1"/>
                <w:szCs w:val="1"/>
                <w:color w:val="auto"/>
              </w:rPr>
            </w:pPr>
          </w:p>
        </w:tc>
      </w:tr>
      <w:tr>
        <w:trPr>
          <w:trHeight w:val="202"/>
        </w:trPr>
        <w:tc>
          <w:tcPr>
            <w:tcW w:w="968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734,713</w:t>
            </w:r>
          </w:p>
        </w:tc>
        <w:tc>
          <w:tcPr>
            <w:tcW w:w="0" w:type="dxa"/>
            <w:vAlign w:val="bottom"/>
          </w:tcPr>
          <w:p>
            <w:pPr>
              <w:spacing w:after="0"/>
              <w:rPr>
                <w:sz w:val="1"/>
                <w:szCs w:val="1"/>
                <w:color w:val="auto"/>
              </w:rPr>
            </w:pPr>
          </w:p>
        </w:tc>
      </w:tr>
      <w:tr>
        <w:trPr>
          <w:trHeight w:val="251"/>
        </w:trPr>
        <w:tc>
          <w:tcPr>
            <w:tcW w:w="9680" w:type="dxa"/>
            <w:vAlign w:val="bottom"/>
          </w:tcPr>
          <w:p>
            <w:pPr>
              <w:spacing w:after="0"/>
              <w:rPr>
                <w:sz w:val="20"/>
                <w:szCs w:val="20"/>
                <w:color w:val="auto"/>
              </w:rPr>
            </w:pPr>
            <w:r>
              <w:rPr>
                <w:rFonts w:ascii="Arial" w:cs="Arial" w:eastAsia="Arial" w:hAnsi="Arial"/>
                <w:sz w:val="18"/>
                <w:szCs w:val="18"/>
                <w:color w:val="auto"/>
              </w:rPr>
              <w:t>Less: discount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86,932</w:t>
            </w:r>
          </w:p>
        </w:tc>
        <w:tc>
          <w:tcPr>
            <w:tcW w:w="0" w:type="dxa"/>
            <w:vAlign w:val="bottom"/>
          </w:tcPr>
          <w:p>
            <w:pPr>
              <w:spacing w:after="0"/>
              <w:rPr>
                <w:sz w:val="1"/>
                <w:szCs w:val="1"/>
                <w:color w:val="auto"/>
              </w:rPr>
            </w:pPr>
          </w:p>
        </w:tc>
      </w:tr>
      <w:tr>
        <w:trPr>
          <w:trHeight w:val="250"/>
        </w:trPr>
        <w:tc>
          <w:tcPr>
            <w:tcW w:w="9680" w:type="dxa"/>
            <w:vAlign w:val="bottom"/>
          </w:tcPr>
          <w:p>
            <w:pPr>
              <w:spacing w:after="0" w:line="203" w:lineRule="exact"/>
              <w:rPr>
                <w:sz w:val="20"/>
                <w:szCs w:val="20"/>
                <w:color w:val="auto"/>
              </w:rPr>
            </w:pPr>
            <w:r>
              <w:rPr>
                <w:rFonts w:ascii="Arial" w:cs="Arial" w:eastAsia="Arial" w:hAnsi="Arial"/>
                <w:sz w:val="18"/>
                <w:szCs w:val="18"/>
                <w:color w:val="auto"/>
              </w:rPr>
              <w:t>Total lease liabilities</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647,781</w:t>
            </w:r>
          </w:p>
        </w:tc>
        <w:tc>
          <w:tcPr>
            <w:tcW w:w="0" w:type="dxa"/>
            <w:vAlign w:val="bottom"/>
          </w:tcPr>
          <w:p>
            <w:pPr>
              <w:spacing w:after="0"/>
              <w:rPr>
                <w:sz w:val="1"/>
                <w:szCs w:val="1"/>
                <w:color w:val="auto"/>
              </w:rPr>
            </w:pPr>
          </w:p>
        </w:tc>
      </w:tr>
      <w:tr>
        <w:trPr>
          <w:trHeight w:val="21"/>
        </w:trPr>
        <w:tc>
          <w:tcPr>
            <w:tcW w:w="9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For the nine-month period beginning April 1, 2019.</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weighted average remaining lease term for operating leases is 5.8 years and the weighted average discount rate used in calculating the operating lease asset and liability is 4.5%. Cash paid for amounts included in the measurement of lease liabilities is $30,684. For the three months ended March 31,2019 payments on lease obligations were $25,208 and amortization on the right of use assets was $29,295.</w:t>
      </w:r>
    </w:p>
    <w:p>
      <w:pPr>
        <w:spacing w:after="0" w:line="181"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The Company initially signed the lease for its current office space located in Rochester Michigan on December 1, 2011. That lease expired on November 30, 2016 and the Company signed a new lease for the same space. The current lease is a three-year lease beginning December 1, 2016, with options for up to an additional 6 years. The rent is payable monthly at rates of $6,232, $6,308, and $6,384 per month for years 1, 2, and 3 of the lease, respectively. The monthly rates for the option years range from $6,384 per month to $6,688 per month for the option years 4 through 9 of the lease. If the Company fails to exercise its option for option years 4 and 5, a lease termination payment of $7,300 will be due at the end of the initial 3-year term.</w:t>
      </w:r>
    </w:p>
    <w:p>
      <w:pPr>
        <w:spacing w:after="0" w:line="158" w:lineRule="exact"/>
        <w:rPr>
          <w:sz w:val="20"/>
          <w:szCs w:val="20"/>
          <w:color w:val="auto"/>
        </w:rPr>
      </w:pPr>
    </w:p>
    <w:p>
      <w:pPr>
        <w:ind w:firstLine="46"/>
        <w:spacing w:after="0" w:line="277" w:lineRule="auto"/>
        <w:rPr>
          <w:sz w:val="20"/>
          <w:szCs w:val="20"/>
          <w:color w:val="auto"/>
        </w:rPr>
      </w:pPr>
      <w:r>
        <w:rPr>
          <w:rFonts w:ascii="Arial" w:cs="Arial" w:eastAsia="Arial" w:hAnsi="Arial"/>
          <w:sz w:val="18"/>
          <w:szCs w:val="18"/>
          <w:color w:val="auto"/>
        </w:rPr>
        <w:t>In the first quarter of 2019, the Company signed a new lease on office space in Cranbury New Jersey commencing on February 1, 2019. The lease is a 3-year lease calling for monthly payments ranging from $2,707 to $2,808 plus utilities during the term of the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2016, the Financial Accounting Standards Board (the “FASB”) issued ASU 2016-13, Financial Instruments-Credit Losses (Topic 326): Measurement of Credit Losses on Financial Instruments. ASU 2016-13 provides for a new impairment model which requires measurement and recognition of expected credit losses for most financial assets and certain other instruments, including but not limited to accounts receivable and available for sale debt securities. ASU 2016-13 will become effective for the Company on January 1, 2020 and early adoption is permitted. The Company is currently evaluating the impact of this guidance on its consolidated financial statements.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ASU 2017-04 simplifies the subsequent measurement of goodwill by eliminating the second step of the goodwill impairment test. The second step measures a goodwill impairment loss by comparing the implied fair value of a reporting unit’s goodwill with the carrying amount of that goodwill. Under ASU 2017-04, a company will record an impairment charge based on the excess of a reporting unit’s carrying amount over its fair value. ASU 2017-04 will be applied prospectively and is effective for annual or interim goodwill impairment tests in fiscal years beginning after December 15, 2019. Early adoption is permitted for interim or annual goodwill impairment tests performed on testing dates after January 1, 2017. The Company is currently evaluating the impact of this guidance on its consolidated financial statements.</w:t>
      </w:r>
    </w:p>
    <w:p>
      <w:pPr>
        <w:spacing w:after="0" w:line="18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August 2018, the FASB issued ASU 2018-13, Fair Value Measurement (Topic 820): Disclosure Framework-Changes to the Disclosure Requirements for Fair Value Measurement. ASU 2018-13 modifies the disclosure requirements on fair value measurements and will become effective for the Company on January 1, 2020 and early adoption is permitted. The Company is currently evaluating the impact of this guidance on its consolidated financial statements.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STOCKHOLDERS’ EQUITY</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quarters ended March 31, 2019 and 2018, we issued 8,336 and 6,249 shares, respectively, of our common stock to our independent directors in connection with our Director Compensation Plan, which calls for issuance of 2,084 shares per quarter to each independent director. These shares were valued at $106,834 and $28,875 at March 31, 2019 and 2018, respectively.</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quarter ended March 31, 2019, we issued 89,826 shares of our common stock and received proceeds of $343,785 in connection with the exercise of stock options under our 2013 equity compensation plan. We issued an additional 12,052 shares of our common stock in connection with the exercise of options using the net-settled method, which resulted in no cash. whereby no cash was received, but rather the exercise price was paid by the surrender of shares underlying the options. We also issued 130,001 shares of our common stock in the quarter ended March 31, 2019 in connection with restricted stock awards awarded in 2018.</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March 2018, we issued 100,000 shares of common stock to a subsidiary of WPP, plc one of the world’s largest advertising companies, and a shareholder at the time, in full payment of all amounts due under a comarketing agreement that covered certain WPP plc agencies, whereby we shared a portion of our revenue with those agencies related to programs awarded to us by those agencies. The shares were valued at $447,000, the market value of the stock on the date of issuance. The amount due was recorded as a liability in revenue share payable at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4 – SHARE BASED PAYMENTS – OPTIONS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the fair value method to account for stock-based compensation. We recorded $530,312 and $468,247 in compensation expense in the three months ended March 31, 2019 and 2018, respectively, related to options issued under our stock-based incentive compensation plan. This includes expense related to options issued in prior years for which the requisite service period for those options includes the current period as well as options issued in the current period. The fair value of these instruments was calculated using the Black-Scholes option pricing model. There is $1,564,919 of remaining expense related to unvested options to be recognized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5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involved in any legal proceedings.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64" w:right="29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NET INCOME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share.</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420" w:type="dxa"/>
            <w:vAlign w:val="bottom"/>
          </w:tcPr>
          <w:p>
            <w:pPr>
              <w:spacing w:after="0" w:line="201" w:lineRule="exact"/>
              <w:rPr>
                <w:sz w:val="20"/>
                <w:szCs w:val="20"/>
                <w:color w:val="auto"/>
              </w:rPr>
            </w:pPr>
            <w:r>
              <w:rPr>
                <w:rFonts w:ascii="Arial" w:cs="Arial" w:eastAsia="Arial" w:hAnsi="Arial"/>
                <w:sz w:val="18"/>
                <w:szCs w:val="18"/>
                <w:color w:val="auto"/>
              </w:rPr>
              <w:t>Numerator</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4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6,529</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line="271" w:lineRule="exact"/>
              <w:rPr>
                <w:sz w:val="20"/>
                <w:szCs w:val="20"/>
                <w:color w:val="auto"/>
              </w:rPr>
            </w:pPr>
            <w:r>
              <w:rPr>
                <w:rFonts w:ascii="Arial" w:cs="Arial" w:eastAsia="Arial" w:hAnsi="Arial"/>
                <w:sz w:val="16"/>
                <w:szCs w:val="16"/>
                <w:color w:val="auto"/>
              </w:rPr>
              <w:t>(189,179</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742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74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Weighted average shares outstanding used in computing net income (loss) per share</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Basic</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12,077,829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9,786,027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420" w:type="dxa"/>
            <w:vAlign w:val="bottom"/>
          </w:tcPr>
          <w:p>
            <w:pPr>
              <w:ind w:left="180"/>
              <w:spacing w:after="0"/>
              <w:rPr>
                <w:sz w:val="20"/>
                <w:szCs w:val="20"/>
                <w:color w:val="auto"/>
              </w:rPr>
            </w:pPr>
            <w:r>
              <w:rPr>
                <w:rFonts w:ascii="Arial" w:cs="Arial" w:eastAsia="Arial" w:hAnsi="Arial"/>
                <w:sz w:val="18"/>
                <w:szCs w:val="18"/>
                <w:color w:val="auto"/>
              </w:rPr>
              <w:t>Effect of dilutive stock options, warrants, and stock grants</w:t>
            </w: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1,000,088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2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vMerge w:val="continue"/>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13,077,917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9,786,027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42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1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74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420" w:type="dxa"/>
            <w:vAlign w:val="bottom"/>
          </w:tcPr>
          <w:p>
            <w:pPr>
              <w:ind w:left="180"/>
              <w:spacing w:after="0"/>
              <w:rPr>
                <w:sz w:val="20"/>
                <w:szCs w:val="20"/>
                <w:color w:val="auto"/>
              </w:rPr>
            </w:pPr>
            <w:r>
              <w:rPr>
                <w:rFonts w:ascii="Arial" w:cs="Arial" w:eastAsia="Arial" w:hAnsi="Arial"/>
                <w:sz w:val="18"/>
                <w:szCs w:val="18"/>
                <w:color w:val="auto"/>
              </w:rPr>
              <w:t>Basic</w:t>
            </w:r>
          </w:p>
        </w:tc>
        <w:tc>
          <w:tcPr>
            <w:tcW w:w="1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line="271" w:lineRule="exact"/>
              <w:rPr>
                <w:sz w:val="20"/>
                <w:szCs w:val="20"/>
                <w:color w:val="auto"/>
              </w:rPr>
            </w:pPr>
            <w:r>
              <w:rPr>
                <w:rFonts w:ascii="Arial" w:cs="Arial" w:eastAsia="Arial" w:hAnsi="Arial"/>
                <w:sz w:val="16"/>
                <w:szCs w:val="16"/>
                <w:color w:val="auto"/>
              </w:rPr>
              <w:t>(0.02</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742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4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tcBorders>
            <w:gridSpan w:val="2"/>
          </w:tcPr>
          <w:p>
            <w:pPr>
              <w:spacing w:after="0" w:line="20" w:lineRule="exact"/>
              <w:rPr>
                <w:sz w:val="1"/>
                <w:szCs w:val="1"/>
                <w:color w:val="auto"/>
              </w:rPr>
            </w:pPr>
          </w:p>
        </w:tc>
        <w:tc>
          <w:tcPr>
            <w:tcW w:w="920" w:type="dxa"/>
            <w:vAlign w:val="bottom"/>
            <w:tcBorders>
              <w:top w:val="single" w:sz="8" w:color="auto"/>
            </w:tcBorders>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0" w:type="dxa"/>
            <w:vAlign w:val="bottom"/>
            <w:tcBorders>
              <w:bottom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7 – SUBSEQUENT EVENTS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accordance with ASC 855-10, we have analyzed our operations subsequent to March 31, 2019 through the date these financial statements were issued and have determined that we do not have any material subsequent events to disclose or recognize in these financial statements.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64"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April 2019</w:t>
      </w:r>
    </w:p>
    <w:p>
      <w:pPr>
        <w:spacing w:after="0" w:line="225" w:lineRule="exact"/>
        <w:rPr>
          <w:sz w:val="20"/>
          <w:szCs w:val="20"/>
          <w:color w:val="auto"/>
        </w:rPr>
      </w:pPr>
    </w:p>
    <w:p>
      <w:pPr>
        <w:ind w:left="700" w:hanging="69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sales for the first three months of 2019 were $5.2 million, a 27% increase over the same period in 2018.</w:t>
      </w:r>
    </w:p>
    <w:p>
      <w:pPr>
        <w:spacing w:after="0" w:line="23" w:lineRule="exact"/>
        <w:rPr>
          <w:rFonts w:ascii="Arial" w:cs="Arial" w:eastAsia="Arial" w:hAnsi="Arial"/>
          <w:sz w:val="18"/>
          <w:szCs w:val="18"/>
          <w:color w:val="auto"/>
        </w:rPr>
      </w:pPr>
    </w:p>
    <w:p>
      <w:pPr>
        <w:ind w:left="700" w:right="60" w:hanging="692"/>
        <w:spacing w:after="0" w:line="25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continue to focus on adding additional brands for existing clients, providing new solutions, expanding the utilization of our network for existing brands, and obtaining new pharmaceutical manufacturer clients and advertising agencies.</w:t>
      </w:r>
    </w:p>
    <w:p>
      <w:pPr>
        <w:ind w:left="700" w:hanging="69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sponsored a TrendTalks Roundtable discussion on Digital Pharma Marketing.</w:t>
      </w:r>
    </w:p>
    <w:p>
      <w:pPr>
        <w:spacing w:after="0" w:line="9" w:lineRule="exact"/>
        <w:rPr>
          <w:rFonts w:ascii="Arial" w:cs="Arial" w:eastAsia="Arial" w:hAnsi="Arial"/>
          <w:sz w:val="18"/>
          <w:szCs w:val="18"/>
          <w:color w:val="auto"/>
        </w:rPr>
      </w:pPr>
    </w:p>
    <w:p>
      <w:pPr>
        <w:ind w:left="700" w:right="480" w:hanging="692"/>
        <w:spacing w:after="0" w:line="281"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formed OptimizeMDs, a multi-specialty physician panel with the mission of improving the effectiveness of digital health communications delivered throughout the care continuum and sponsored our survey on drug price transparency and patient cost challenges.</w:t>
      </w:r>
    </w:p>
    <w:p>
      <w:pPr>
        <w:spacing w:after="0" w:line="1" w:lineRule="exact"/>
        <w:rPr>
          <w:rFonts w:ascii="Arial" w:cs="Arial" w:eastAsia="Arial" w:hAnsi="Arial"/>
          <w:sz w:val="16"/>
          <w:szCs w:val="16"/>
          <w:color w:val="auto"/>
        </w:rPr>
      </w:pPr>
    </w:p>
    <w:p>
      <w:pPr>
        <w:ind w:left="700" w:hanging="692"/>
        <w:spacing w:after="0" w:line="26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made additional hires to support growth, including a VP of Sales to focus on the hospital market and a chief commercial officer to focus on enterprise arrangements and product expansion across our customer base.</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success in acquiring, integrating and expanding into new EHR/eRx platforms continues to grow as well. For the remainder of 2019, we expect to expand our reach to physicians, pharmacies and patients, and also increase the utilization of our existing partners as they improve their work flow and reach. With the growth of both our pharmaceutical products and our distribution network, we expect that our financial, brand, and clinical messaging, as well as our patient engagement activities, will continue to increase and show strong growth throughout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Our total revenue reported for the three months ended March 31, 2019 was approximately $5.2 million, an increase of 27% over the approximately $4.1 million from the same period in 2018. The increased revenue resulted primarily from increases in sales in our messaging products. We do not breakout revenue by service at this stage, but as we achieve greater scale we plan to determine the best way to present the growth by service.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Our cost of revenue percentage, composed primarily of revenue share expense, declined as a percentage of revenues, from approximately 49% in the quarter ended March 31, 2018 to approximately 30% for the quarter ended March 31, 2019. This decrease was a result of product mix and our focus on reducing our cost of revenues through improved revenue share contracts and the focus on products with higher margins.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gross margin improved from 51.2% in the quarter ended March 31, 2018 to 69.6% in the quarter ended March 31, 2019. We have been focused on improving our margins. We had a favorable product mix in the 2019 quarter that had a positive impact on our margin. We expect to maintain margins of at least 60% on a quarterly basis for the balance of the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expenses increased from approximately $2.3 million for the three months ended March 31, 2018 to approximately $3.5 million for the same period in 2019, an increase of approximately 52%. The detail by major category is reflected in the table below.</w:t>
      </w:r>
    </w:p>
    <w:p>
      <w:pPr>
        <w:spacing w:after="0" w:line="170"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418"/>
        </w:trPr>
        <w:tc>
          <w:tcPr>
            <w:tcW w:w="622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2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1,689,034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1,210,297</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636,346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497,122</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Professional Fees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239,025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73,026</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Board Compensation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34,250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25,250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Investor Relations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21,736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26,237</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Consultants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38,090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196,580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15,510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190,301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54,473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Development, Maintenance, and Integration Costs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218,096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246,566</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115,518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72,806</w:t>
            </w:r>
          </w:p>
        </w:tc>
        <w:tc>
          <w:tcPr>
            <w:tcW w:w="0" w:type="dxa"/>
            <w:vAlign w:val="bottom"/>
          </w:tcPr>
          <w:p>
            <w:pPr>
              <w:spacing w:after="0"/>
              <w:rPr>
                <w:sz w:val="1"/>
                <w:szCs w:val="1"/>
                <w:color w:val="auto"/>
              </w:rPr>
            </w:pPr>
          </w:p>
        </w:tc>
      </w:tr>
      <w:tr>
        <w:trPr>
          <w:trHeight w:val="244"/>
        </w:trPr>
        <w:tc>
          <w:tcPr>
            <w:tcW w:w="6220" w:type="dxa"/>
            <w:vAlign w:val="bottom"/>
          </w:tcPr>
          <w:p>
            <w:pPr>
              <w:spacing w:after="0"/>
              <w:rPr>
                <w:sz w:val="20"/>
                <w:szCs w:val="20"/>
                <w:color w:val="auto"/>
              </w:rPr>
            </w:pPr>
            <w:r>
              <w:rPr>
                <w:rFonts w:ascii="Arial" w:cs="Arial" w:eastAsia="Arial" w:hAnsi="Arial"/>
                <w:sz w:val="18"/>
                <w:szCs w:val="18"/>
                <w:color w:val="auto"/>
              </w:rPr>
              <w:t>Travel</w:t>
            </w:r>
          </w:p>
        </w:tc>
        <w:tc>
          <w:tcPr>
            <w:tcW w:w="2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114,814</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68,813</w:t>
            </w:r>
          </w:p>
        </w:tc>
        <w:tc>
          <w:tcPr>
            <w:tcW w:w="0" w:type="dxa"/>
            <w:vAlign w:val="bottom"/>
          </w:tcPr>
          <w:p>
            <w:pPr>
              <w:spacing w:after="0"/>
              <w:rPr>
                <w:sz w:val="1"/>
                <w:szCs w:val="1"/>
                <w:color w:val="auto"/>
              </w:rPr>
            </w:pPr>
          </w:p>
        </w:tc>
      </w:tr>
      <w:tr>
        <w:trPr>
          <w:trHeight w:val="27"/>
        </w:trPr>
        <w:tc>
          <w:tcPr>
            <w:tcW w:w="622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2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6220" w:type="dxa"/>
            <w:vAlign w:val="bottom"/>
            <w:vMerge w:val="continue"/>
          </w:tcPr>
          <w:p>
            <w:pPr>
              <w:spacing w:after="0"/>
              <w:rPr>
                <w:sz w:val="24"/>
                <w:szCs w:val="24"/>
                <w:color w:val="auto"/>
              </w:rPr>
            </w:pPr>
          </w:p>
        </w:tc>
        <w:tc>
          <w:tcPr>
            <w:tcW w:w="2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3,493,789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2,295,341</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largest increases in operating expenses related to salaries, wages, and benefits and other human resource related costs. Since the beginning of the first quarter of 2018, we have hired an additional vice President of sales, a vice president of marketing and communications, a financial analyst, and 10 employees associated with our CareSpeak acquisition. These new hires also resulted in increases in benefits, payroll taxes, and related travel. The increased stock-based compensation results from the acceleration of vesting of previously granted options as well as the grant of new options. We expect stock-based compensation to decrease on a quarterly basis for the balance of the year.</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decrease in development, maintenance, and integration costs reflects cost savings related to our move to Amazon web services at the end of the quarter ended March 31, 2018, which resulted in a reduction of our monthly hosting cost.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Advertising and promotion increased substantially in 2019 because of our increased focus on marketing activities. This increase includes costs associated with our physician survey on drug price transparency and patient cost challenges, our sponsorship of a healthcare panel on digital pharma marketing, and attendance at several industry conferences. We also hired a public relations firm in late 2018.</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3" w:name="page14"/>
    <w:bookmarkEnd w:id="13"/>
    <w:p>
      <w:pPr>
        <w:spacing w:after="0" w:line="302" w:lineRule="auto"/>
        <w:rPr>
          <w:sz w:val="20"/>
          <w:szCs w:val="20"/>
          <w:color w:val="auto"/>
        </w:rPr>
      </w:pPr>
      <w:r>
        <w:rPr>
          <w:rFonts w:ascii="Arial" w:cs="Arial" w:eastAsia="Arial" w:hAnsi="Arial"/>
          <w:sz w:val="16"/>
          <w:szCs w:val="16"/>
          <w:color w:val="auto"/>
        </w:rPr>
        <w:t>Professional fees increased in 2019 as a result of our move to the Nasdaq Capital Market in June 2018, our subsequent increase in market capitalization, and our acquisition of CareSpeak Communications in late 2018. This increased the complexity of our year-end audit and we were required to obtain an audit opinion on our internal controls under Sarbanes Oxley as of December 31, 2018 for the first time. We also were required to obtain third party valuations of the allocation of our purchase price of CareSpeak and the fair value of those assets and liabilities as of December 31, 2018.</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Depreciation and amortization increased because of the amortizable assets acquired in connection with our acquisition of CareSpeak Communications. Office, facility, and other expenses also increased as a result of our acquisition of CareSpeak, which resulted in two additional office locations for us, as well as the normal increased costs associated with increased business activity.</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increase in the fair value of contingent consideration relates to our acquisition of CareSpeak Communications. The purchase price included potential additional consideration to be paid if certain revenue levels are achieved in 2019 and 2020. That liability is required to be adjusted to fair value each quarter and this represents the increase in the fair value of the liability during the quarter ended March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other variances in the table above are the result of normal fluctuations in activity.</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expect our overall operating expenses to continue at the 2019 level, or slightly above as we further implement our business plan and expand our operations to grow the business in a very dynamic and active marketplace. However, we have established a strong team as a base to support growth and do not expect human resource costs to increase as quickly as revenues. We have made additional growth hires in April 2019, including a VP of sales to focus on the hospital market and a chief commercial officer to focus on enterprise arrangements and product expansion across our customer base.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net income for the three months ended March 31, 2019 was approximately $7,000, as compared to a loss of approximately $189,000 during the same period in 2018. The reasons and specific components associated with the move to profitability are discussed above. Overall, the income resulted from increased revenues and gross margin, which offset the increase in operating expenses. Barring unexpected, or one-time expenses, we expect to remain profitable on a quarterly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March 31, 2019, we had total current assets of approximately $15.5 million, compared with current liabilities of approximately $3.9 million, resulting in working capital of approximately $11.6 million and a current ratio of approximately 4.0 to 1. This represents an improvement from working capital of approximately $11.5 million and current ratio of 3.7 to 1 at December 31, 2018.</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operating activities provided approximately $890,000 in cash flow during the three months ended March 31, 2019, compared with cash used of approximately $787,000 in the same period in 2018. The cash provided in the 2019 period was the result of our net income, as well as working capital management. The cash used in the 2018 period was the result of our net loss as well as cash used for working capital. The main use of cash in 2018 resulted from a change in payment terms for one of our key partners, as well as payment of certain year end liabilities. We expect to continue to have positive cash flow from operations on a quarterly basis for the balance of the year.</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used insignificant amounts in investing activities in both the three months ended March 31, 2019, and 2018. These investments related to purchases of equipment as well as investments related to the expansion of our network capabilities.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4" w:name="page15"/>
    <w:bookmarkEnd w:id="14"/>
    <w:p>
      <w:pPr>
        <w:jc w:val="both"/>
        <w:spacing w:after="0" w:line="312" w:lineRule="auto"/>
        <w:rPr>
          <w:sz w:val="20"/>
          <w:szCs w:val="20"/>
          <w:color w:val="auto"/>
        </w:rPr>
      </w:pPr>
      <w:r>
        <w:rPr>
          <w:rFonts w:ascii="Arial" w:cs="Arial" w:eastAsia="Arial" w:hAnsi="Arial"/>
          <w:sz w:val="16"/>
          <w:szCs w:val="16"/>
          <w:color w:val="auto"/>
        </w:rPr>
        <w:t>We had proceeds from financing activities of approximately $344,000 during the three months ended March 31, 2019 related to the exercise of stock options. We had no financing activities in the comparable period for 2018. We did however, as discussed in Note 3, issue 300,000 shares valued at $447,000 in 2018 in a non-cash transaction in payment of revenue share due under a comarketing agreement and the accompanying termination of the agreement.</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anticipate the need to raise additional capital in the short or long term for operating purposes or to fund our growth plans. We are focused on growing our revenue, channel and partner network. However, as a company in a market that is active with merger and acquisition activity, we may have opportunities, such as for acquisitions or strategic partner relationships, which may require additional capital. We will assess these opportunities as they arise with the view of maximizing shareholder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2018; however, we consider our critical accounting policies to be those related to determining the amount of revenue to be billed, the timing of revenue recognition, calculation of revenue share expense, stock-based compensation, capitalization and related amortization of intangible assets, impairment of assets, and the fair value of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June 2016, the Financial Accounting Standards Board (the “FASB”) issued ASU 2016-13, Financial Instruments-Credit Losses (Topic 326): Measurement of Credit Losses on Financial Instruments. ASU 2016-13 provides for a new impairment model which requires measurement and recognition of expected credit losses for most financial assets and certain other instruments, including but not limited to accounts receivable and available for sale debt securities. ASU 2016-13 will become effective for the Company on January 1, 2020 and early adoption is permitted. The Company is currently evaluating the impact of this guidance on its consolidated financial statements.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ASU 2017-04 simplifies the subsequent measurement of goodwill by eliminating the second step of the goodwill impairment test. The second step measures a goodwill impairment loss by comparing the implied fair value of a reporting unit’s goodwill with the carrying amount of that goodwill. Under ASU 2017-04, a company will record an impairment charge based on the excess of a reporting unit’s carrying amount over its fair value. ASU 2017-04 will be applied prospectively and is effective for annual or interim goodwill impairment tests in fiscal years beginning after December 15, 2019. Early adoption is permitted for interim or annual goodwill impairment tests performed on testing dates after January 1, 2017. The Company is currently evaluating the impact of this guidance on its consolidated financial statements.</w:t>
      </w:r>
    </w:p>
    <w:p>
      <w:pPr>
        <w:spacing w:after="0" w:line="18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August 2018, the FASB issued ASU 2018-13, Fair Value Measurement (Topic 820): Disclosure Framework-Changes to the Disclosure Requirements for Fair Value Measurement. ASU 2018-13 modifies the disclosure requirements on fair value measurements and will become effective for the Company on January 1, 2020 and early adoption is permitted. The Company is currently evaluating the impact of this guidance on its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required to provide the information required by this Item.</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of the end of the period covered by this report (the “Evaluation Date”). Based upon that evaluation, our Chief Executive Officer and Chief Financial Officer concluded that, as of March 31, 2019, our disclosure controls and procedures were not effective due to the presence of material weaknesses in internal control over financial reporting.</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described in more detail in our annual report on Form 10-K for the year ended December 31, 2018, management identified the following material weaknesses which have caused management to conclude that our disclosure controls and procedures were not effective: (i) inadequate segregation of duties; and (ii) inadequate information technology reporting systems to insure that accurate financial information is provided for accounting and financial reporting with respect to the requirements and application of both US GAAP and SEC guidelines. Those weaknesses have not been completely remediated as of March 31,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During the quarter ended March 31, 2019, we hired an additional person in our accounting department to address the segregation of duties issue and improve our internal control over financial reporting. We also evaluated and selected new accounting software to address the information technology issues. We expect to have it fully implemented during the third quarter of 2019. We also improved the documentation of the review of data entered into our system.</w:t>
      </w:r>
    </w:p>
    <w:p>
      <w:pPr>
        <w:spacing w:after="0" w:line="14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conjunction with the adoption of the new lease accounting standard, we implemented new lease administration software and updated our business processes and internal controls in support of the new guidance.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While we made other routine ongoing improvements in our internal control and processes, no other material changes were made during the period.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our company have been detected.</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our Annual Report on Form 10-K for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March 2019, we issued 8,336 shares of common stock to our independent directors in connection with our Director Compensation Plan. We also issued a total 231,879 shares of stock in connection with the exercise of options and restricted stock awards under our 2013 equity compensation plan.</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Number Description of Exhibit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5"/>
                <w:szCs w:val="15"/>
                <w:color w:val="auto"/>
              </w:rPr>
            </w:pPr>
          </w:p>
        </w:tc>
        <w:tc>
          <w:tcPr>
            <w:tcW w:w="10040" w:type="dxa"/>
            <w:vAlign w:val="bottom"/>
            <w:tcBorders>
              <w:top w:val="single" w:sz="8" w:color="auto"/>
              <w:bottom w:val="single" w:sz="8" w:color="0000EE"/>
            </w:tcBorders>
            <w:gridSpan w:val="5"/>
          </w:tcPr>
          <w:p>
            <w:pPr>
              <w:spacing w:after="0" w:line="182"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Certification of Chief Executive Officer pursuant to 18 U.S.C. Section 1350, as adopted pursuant to Section 302 of the Sarbanes-Oxley Act</w:t>
              </w:r>
            </w:hyperlink>
          </w:p>
        </w:tc>
        <w:tc>
          <w:tcPr>
            <w:tcW w:w="20" w:type="dxa"/>
            <w:vAlign w:val="bottom"/>
            <w:tcBorders>
              <w:top w:val="single" w:sz="8" w:color="auto"/>
            </w:tcBorders>
          </w:tcPr>
          <w:p>
            <w:pPr>
              <w:spacing w:after="0"/>
              <w:rPr>
                <w:sz w:val="15"/>
                <w:szCs w:val="15"/>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of 2002</w:t>
              </w:r>
            </w:hyperlink>
          </w:p>
        </w:tc>
        <w:tc>
          <w:tcPr>
            <w:tcW w:w="9500" w:type="dxa"/>
            <w:vAlign w:val="bottom"/>
            <w:gridSpan w:val="5"/>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10060" w:type="dxa"/>
            <w:vAlign w:val="bottom"/>
            <w:gridSpan w:val="6"/>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Certification of Chief Financial Officer pursuant to 18 U.S.C. Section 1350, as adopted pursuant to Section 302 of the Sarbanes-Oxley Act</w:t>
              </w:r>
            </w:hyperlink>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of 2002</w:t>
              </w:r>
            </w:hyperlink>
          </w:p>
        </w:tc>
        <w:tc>
          <w:tcPr>
            <w:tcW w:w="9420" w:type="dxa"/>
            <w:vAlign w:val="bottom"/>
            <w:tcBorders>
              <w:top w:val="single" w:sz="8" w:color="0000EE"/>
            </w:tcBorders>
            <w:gridSpan w:val="3"/>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7"/>
                <w:szCs w:val="17"/>
                <w:color w:val="auto"/>
              </w:rPr>
            </w:pPr>
          </w:p>
        </w:tc>
        <w:tc>
          <w:tcPr>
            <w:tcW w:w="10060" w:type="dxa"/>
            <w:vAlign w:val="bottom"/>
            <w:gridSpan w:val="6"/>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Certification of Chief Executive Officer and Chief Financial Officer pursuant to 18 U.S.C. Section 1350, as adopted pursuant to Section</w:t>
              </w:r>
            </w:hyperlink>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906 of the Sarbanes-Oxley Act of 2002</w:t>
              </w:r>
            </w:hyperlink>
          </w:p>
        </w:tc>
        <w:tc>
          <w:tcPr>
            <w:tcW w:w="28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7240" w:type="dxa"/>
            <w:vAlign w:val="bottom"/>
            <w:gridSpan w:val="4"/>
          </w:tcPr>
          <w:p>
            <w:pPr>
              <w:spacing w:after="0" w:line="20" w:lineRule="exact"/>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0060" w:type="dxa"/>
            <w:vAlign w:val="bottom"/>
            <w:gridSpan w:val="6"/>
          </w:tcPr>
          <w:p>
            <w:pPr>
              <w:spacing w:after="0"/>
              <w:rPr>
                <w:sz w:val="20"/>
                <w:szCs w:val="20"/>
                <w:color w:val="auto"/>
              </w:rPr>
            </w:pPr>
            <w:r>
              <w:rPr>
                <w:rFonts w:ascii="Arial" w:cs="Arial" w:eastAsia="Arial" w:hAnsi="Arial"/>
                <w:sz w:val="18"/>
                <w:szCs w:val="18"/>
                <w:color w:val="auto"/>
                <w:w w:val="99"/>
              </w:rPr>
              <w:t>The following materials from the Company’s Quarterly Report on Form 10-Q for the quarter ended March 31, 2019 formatted in</w:t>
            </w:r>
          </w:p>
        </w:tc>
      </w:tr>
      <w:tr>
        <w:trPr>
          <w:trHeight w:val="230"/>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60" w:type="dxa"/>
            <w:vAlign w:val="bottom"/>
            <w:gridSpan w:val="6"/>
          </w:tcPr>
          <w:p>
            <w:pPr>
              <w:spacing w:after="0"/>
              <w:rPr>
                <w:sz w:val="20"/>
                <w:szCs w:val="20"/>
                <w:color w:val="auto"/>
              </w:rPr>
            </w:pPr>
            <w:r>
              <w:rPr>
                <w:rFonts w:ascii="Arial" w:cs="Arial" w:eastAsia="Arial" w:hAnsi="Arial"/>
                <w:sz w:val="18"/>
                <w:szCs w:val="18"/>
                <w:color w:val="auto"/>
              </w:rPr>
              <w:t>Extensible Business Reporting Language (XBRL).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Provided herewith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20" w:type="dxa"/>
            <w:vAlign w:val="bottom"/>
            <w:gridSpan w:val="2"/>
          </w:tcPr>
          <w:p>
            <w:pPr>
              <w:ind w:left="68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Date: May 8, 2019</w:t>
            </w:r>
          </w:p>
        </w:tc>
        <w:tc>
          <w:tcPr>
            <w:tcW w:w="3980" w:type="dxa"/>
            <w:vAlign w:val="bottom"/>
          </w:tcPr>
          <w:p>
            <w:pPr>
              <w:spacing w:after="0"/>
              <w:rPr>
                <w:sz w:val="18"/>
                <w:szCs w:val="18"/>
                <w:color w:val="auto"/>
              </w:rPr>
            </w:pPr>
          </w:p>
        </w:tc>
      </w:tr>
      <w:tr>
        <w:trPr>
          <w:trHeight w:val="237"/>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440" w:type="dxa"/>
            <w:vAlign w:val="bottom"/>
          </w:tcPr>
          <w:p>
            <w:pPr>
              <w:spacing w:after="0"/>
              <w:rPr>
                <w:sz w:val="17"/>
                <w:szCs w:val="17"/>
                <w:color w:val="auto"/>
              </w:rPr>
            </w:pPr>
          </w:p>
        </w:tc>
        <w:tc>
          <w:tcPr>
            <w:tcW w:w="398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Principal Executive Officer, and Director</w:t>
            </w:r>
          </w:p>
        </w:tc>
      </w:tr>
      <w:tr>
        <w:trPr>
          <w:trHeight w:val="418"/>
        </w:trPr>
        <w:tc>
          <w:tcPr>
            <w:tcW w:w="11420" w:type="dxa"/>
            <w:vAlign w:val="bottom"/>
            <w:gridSpan w:val="2"/>
          </w:tcPr>
          <w:p>
            <w:pPr>
              <w:ind w:left="68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Date: May 8, 2019</w:t>
            </w:r>
          </w:p>
        </w:tc>
        <w:tc>
          <w:tcPr>
            <w:tcW w:w="3980" w:type="dxa"/>
            <w:vAlign w:val="bottom"/>
          </w:tcPr>
          <w:p>
            <w:pPr>
              <w:spacing w:after="0"/>
              <w:rPr>
                <w:sz w:val="18"/>
                <w:szCs w:val="18"/>
                <w:color w:val="auto"/>
              </w:rPr>
            </w:pPr>
          </w:p>
        </w:tc>
      </w:tr>
      <w:tr>
        <w:trPr>
          <w:trHeight w:val="237"/>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7440" w:type="dxa"/>
            <w:vAlign w:val="bottom"/>
          </w:tcPr>
          <w:p>
            <w:pPr>
              <w:spacing w:after="0"/>
              <w:rPr>
                <w:sz w:val="17"/>
                <w:szCs w:val="17"/>
                <w:color w:val="auto"/>
              </w:rPr>
            </w:pPr>
          </w:p>
        </w:tc>
        <w:tc>
          <w:tcPr>
            <w:tcW w:w="398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7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Principal Financial Officer and</w:t>
            </w:r>
          </w:p>
        </w:tc>
      </w:tr>
      <w:tr>
        <w:trPr>
          <w:trHeight w:val="234"/>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r>
        <w:trPr>
          <w:trHeight w:val="655"/>
        </w:trPr>
        <w:tc>
          <w:tcPr>
            <w:tcW w:w="744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16</w:t>
            </w: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2018 of OptimizeRx Corp (the “registrant”);</w:t>
      </w:r>
    </w:p>
    <w:p>
      <w:pPr>
        <w:spacing w:after="0" w:line="225" w:lineRule="exact"/>
        <w:rPr>
          <w:rFonts w:ascii="Arial" w:cs="Arial" w:eastAsia="Arial" w:hAnsi="Arial"/>
          <w:sz w:val="18"/>
          <w:szCs w:val="18"/>
          <w:color w:val="auto"/>
        </w:rPr>
      </w:pPr>
    </w:p>
    <w:p>
      <w:pPr>
        <w:ind w:left="380" w:right="80" w:hanging="372"/>
        <w:spacing w:after="0" w:line="342"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40" w:hanging="372"/>
        <w:spacing w:after="0" w:line="308"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20" w:hanging="372"/>
        <w:spacing w:after="0" w:line="264"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200" w:hanging="482"/>
        <w:spacing w:after="0" w:line="264"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20" w:hanging="492"/>
        <w:spacing w:after="0" w:line="264"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80" w:hanging="482"/>
        <w:spacing w:after="0" w:line="342" w:lineRule="auto"/>
        <w:tabs>
          <w:tab w:leader="none" w:pos="10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0" w:hanging="492"/>
        <w:spacing w:after="0" w:line="264"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60" w:hanging="372"/>
        <w:spacing w:after="0" w:line="308"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100" w:hanging="482"/>
        <w:spacing w:after="0" w:line="277"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60" w:hanging="492"/>
        <w:spacing w:after="0" w:line="277"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1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P. Baker, certify that;</w:t>
      </w:r>
    </w:p>
    <w:p>
      <w:pPr>
        <w:spacing w:after="0" w:line="225"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2019 of OptimizeRx Corp (the “registrant”);</w:t>
      </w:r>
    </w:p>
    <w:p>
      <w:pPr>
        <w:spacing w:after="0" w:line="225" w:lineRule="exact"/>
        <w:rPr>
          <w:rFonts w:ascii="Arial" w:cs="Arial" w:eastAsia="Arial" w:hAnsi="Arial"/>
          <w:sz w:val="18"/>
          <w:szCs w:val="18"/>
          <w:color w:val="auto"/>
        </w:rPr>
      </w:pPr>
    </w:p>
    <w:p>
      <w:pPr>
        <w:ind w:left="380" w:right="80" w:hanging="372"/>
        <w:spacing w:after="0" w:line="342"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40" w:hanging="372"/>
        <w:spacing w:after="0" w:line="308"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20" w:hanging="372"/>
        <w:spacing w:after="0" w:line="26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200" w:hanging="482"/>
        <w:spacing w:after="0" w:line="264"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20" w:hanging="492"/>
        <w:spacing w:after="0" w:line="264"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80" w:hanging="482"/>
        <w:spacing w:after="0" w:line="342" w:lineRule="auto"/>
        <w:tabs>
          <w:tab w:leader="none" w:pos="10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0" w:hanging="492"/>
        <w:spacing w:after="0" w:line="264"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60" w:hanging="372"/>
        <w:spacing w:after="0" w:line="308"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100" w:hanging="482"/>
        <w:spacing w:after="0" w:line="277"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60" w:hanging="492"/>
        <w:spacing w:after="0" w:line="277"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11" w:right="239" w:bottom="1440" w:gutter="0" w:footer="0" w:header="0"/>
        </w:sectPr>
      </w:pPr>
    </w:p>
    <w:bookmarkStart w:id="20" w:name="page21"/>
    <w:bookmarkEnd w:id="20"/>
    <w:p>
      <w:pPr>
        <w:ind w:left="1044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March 31, 2019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280" w:type="dxa"/>
            <w:vAlign w:val="bottom"/>
          </w:tcPr>
          <w:p>
            <w:pPr>
              <w:spacing w:after="0" w:line="195" w:lineRule="exact"/>
              <w:rPr>
                <w:sz w:val="20"/>
                <w:szCs w:val="20"/>
                <w:color w:val="auto"/>
              </w:rPr>
            </w:pPr>
            <w:r>
              <w:rPr>
                <w:rFonts w:ascii="Arial" w:cs="Arial" w:eastAsia="Arial" w:hAnsi="Arial"/>
                <w:sz w:val="18"/>
                <w:szCs w:val="18"/>
                <w:color w:val="auto"/>
              </w:rPr>
              <w:t>Willian J Febbo</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spacing w:after="0"/>
              <w:rPr>
                <w:sz w:val="20"/>
                <w:szCs w:val="20"/>
                <w:color w:val="auto"/>
              </w:rPr>
            </w:pPr>
            <w:r>
              <w:rPr>
                <w:rFonts w:ascii="Arial" w:cs="Arial" w:eastAsia="Arial" w:hAnsi="Arial"/>
                <w:sz w:val="18"/>
                <w:szCs w:val="18"/>
                <w:color w:val="auto"/>
              </w:rPr>
              <w:t>May 8, 2019</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280" w:type="dxa"/>
            <w:vAlign w:val="bottom"/>
          </w:tcPr>
          <w:p>
            <w:pPr>
              <w:spacing w:after="0" w:line="195" w:lineRule="exact"/>
              <w:rPr>
                <w:sz w:val="20"/>
                <w:szCs w:val="20"/>
                <w:color w:val="auto"/>
              </w:rPr>
            </w:pPr>
            <w:r>
              <w:rPr>
                <w:rFonts w:ascii="Arial" w:cs="Arial" w:eastAsia="Arial" w:hAnsi="Arial"/>
                <w:sz w:val="18"/>
                <w:szCs w:val="18"/>
                <w:color w:val="auto"/>
              </w:rPr>
              <w:t>Douglas P. Baker</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spacing w:after="0"/>
              <w:rPr>
                <w:sz w:val="20"/>
                <w:szCs w:val="20"/>
                <w:color w:val="auto"/>
              </w:rPr>
            </w:pPr>
            <w:r>
              <w:rPr>
                <w:rFonts w:ascii="Arial" w:cs="Arial" w:eastAsia="Arial" w:hAnsi="Arial"/>
                <w:sz w:val="18"/>
                <w:szCs w:val="18"/>
                <w:color w:val="auto"/>
              </w:rPr>
              <w:t>May 8, 2019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2019-12-28T12:32:44Z</dcterms:created>
  <dcterms:modified xsi:type="dcterms:W3CDTF">2019-12-28T12:32:44Z</dcterms:modified>
</cp:coreProperties>
</file>