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56153962.xml.htm"/>
      <w:bookmarkStart w:id="1" w:name="kswkform4_175615396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Silvestro Stephen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OPTIMIZERX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260 CHARLES STREET, SUITE 302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OptimizeRx Corp</w:t>
              </w:r>
            </w:hyperlink>
            <w:r>
              <w:rPr/>
              <w:t xml:space="preserve"> [ </w:t>
            </w:r>
            <w:r>
              <w:rPr>
                <w:rFonts w:ascii="Times;serif" w:hAnsi="Times;serif"/>
                <w:color w:val="0000FF"/>
                <w:sz w:val="24"/>
                <w:shd w:fill="FFFFFF" w:val="clear"/>
              </w:rPr>
              <w:t>OPRX</w:t>
            </w:r>
            <w:r>
              <w:rPr/>
              <w:t xml:space="preserve"> ] </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Executive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08/21/2025</w:t>
            </w:r>
            <w:r>
              <w:rPr/>
              <w:t xml:space="preserve"> </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18"/>
        <w:gridCol w:w="906"/>
        <w:gridCol w:w="775"/>
        <w:gridCol w:w="576"/>
        <w:gridCol w:w="376"/>
        <w:gridCol w:w="937"/>
        <w:gridCol w:w="459"/>
        <w:gridCol w:w="622"/>
        <w:gridCol w:w="1204"/>
        <w:gridCol w:w="1005"/>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1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08/21/2025</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w:t>
            </w:r>
          </w:p>
        </w:tc>
        <w:tc>
          <w:tcPr>
            <w:tcW w:w="9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15,625</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2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183,887</w:t>
            </w:r>
            <w:r>
              <w:rPr>
                <w:rFonts w:ascii="Times;serif" w:hAnsi="Times;serif"/>
                <w:color w:val="008000"/>
                <w:position w:val="7"/>
                <w:sz w:val="16"/>
                <w:sz w:val="20"/>
                <w:shd w:fill="FFFFFF" w:val="clear"/>
              </w:rPr>
              <w:t>(1)</w:t>
            </w:r>
            <w:r>
              <w:rPr/>
              <w:t xml:space="preserve"> </w:t>
            </w:r>
          </w:p>
        </w:tc>
        <w:tc>
          <w:tcPr>
            <w:tcW w:w="10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16.14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08/21/2025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35,156</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08/21/2026</w:t>
            </w: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08/21/2030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35,156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35,156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Grant of restricted stock units representing a contingent right to receive shares of OptimizeRx common stock. The restricted stock units will vest in three equal annual installments beginning on August 21, 2026, which is the first anniversary of the grant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stock option vests in three equal annual installments beginning August 21, 2026, the first anniversary of the grant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Marion Odence-Ford,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08/25/2025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73461" TargetMode="External"/><Relationship Id="rId5" Type="http://schemas.openxmlformats.org/officeDocument/2006/relationships/hyperlink" Target="http://www.sec.gov/cgi-bin/browse-edgar?action=getcompany&amp;CIK=000144843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705</Words>
  <Characters>3793</Characters>
  <CharactersWithSpaces>4426</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