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13d-101)</w:t>
      </w:r>
    </w:p>
    <w:p>
      <w:pPr>
        <w:spacing w:after="0" w:line="236"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TO § 240.13d-1(a) AND AMENDMENTS THERETO FILED PURSUANT TO</w:t>
      </w:r>
    </w:p>
    <w:p>
      <w:pPr>
        <w:spacing w:after="0" w:line="9" w:lineRule="exact"/>
        <w:rPr>
          <w:sz w:val="24"/>
          <w:szCs w:val="24"/>
          <w:color w:val="auto"/>
        </w:rPr>
      </w:pPr>
    </w:p>
    <w:p>
      <w:pPr>
        <w:ind w:left="4980" w:right="4820" w:firstLine="199"/>
        <w:spacing w:after="0" w:line="460" w:lineRule="auto"/>
        <w:tabs>
          <w:tab w:leader="none" w:pos="5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240.13d-2(a) (Amendment No. )</w:t>
      </w:r>
      <w:r>
        <w:rPr>
          <w:rFonts w:ascii="Arial" w:cs="Arial" w:eastAsia="Arial" w:hAnsi="Arial"/>
          <w:sz w:val="24"/>
          <w:szCs w:val="24"/>
          <w:color w:val="auto"/>
          <w:vertAlign w:val="superscript"/>
        </w:rPr>
        <w:t>1</w:t>
      </w:r>
    </w:p>
    <w:p>
      <w:pPr>
        <w:jc w:val="center"/>
        <w:ind w:right="-15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par value $0.001 per share</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68401U105</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NIRAJ M. PATEL</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WOLVERINE ASSET MANAGEMENT, LLC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175 W. Jackson Blvd., Suite 340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Chicago, Illinois 60604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(312) 884-4400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ANDREW FREEDMAN,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February 28, 2017</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x.</w:t>
      </w:r>
    </w:p>
    <w:p>
      <w:pPr>
        <w:spacing w:after="0" w:line="197"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w:t>
      </w:r>
    </w:p>
    <w:p>
      <w:pPr>
        <w:spacing w:after="0" w:line="19" w:lineRule="exact"/>
        <w:rPr>
          <w:sz w:val="24"/>
          <w:szCs w:val="24"/>
          <w:color w:val="auto"/>
        </w:rPr>
      </w:pPr>
    </w:p>
    <w:p>
      <w:pPr>
        <w:ind w:right="60" w:firstLine="8"/>
        <w:spacing w:after="0" w:line="211" w:lineRule="auto"/>
        <w:tabs>
          <w:tab w:leader="none" w:pos="693"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30"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68401U105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WOLVERINE ASSET MANAGEMENT, LLC</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x</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 (see Item 3)</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x</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Illinois</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2,155,860</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2,155,860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2,155,860</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2</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68401U105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Borders>
              <w:right w:val="single" w:sz="8" w:color="auto"/>
            </w:tcBorders>
          </w:tcPr>
          <w:p>
            <w:pPr>
              <w:spacing w:after="0"/>
              <w:rPr>
                <w:sz w:val="18"/>
                <w:szCs w:val="18"/>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WOLVERINE HOLDINGS, L.P.</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x</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 (see Item 3)</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Illinois</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4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6"/>
              </w:rPr>
              <w:t>NUMBER OF</w:t>
            </w: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SHARES</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1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40" w:type="dxa"/>
            <w:vAlign w:val="bottom"/>
            <w:tcBorders>
              <w:right w:val="single" w:sz="8" w:color="auto"/>
            </w:tcBorders>
            <w:gridSpan w:val="2"/>
          </w:tcPr>
          <w:p>
            <w:pPr>
              <w:jc w:val="center"/>
              <w:ind w:right="20"/>
              <w:spacing w:after="0" w:line="182" w:lineRule="exact"/>
              <w:rPr>
                <w:sz w:val="20"/>
                <w:szCs w:val="20"/>
                <w:color w:val="auto"/>
              </w:rPr>
            </w:pPr>
            <w:r>
              <w:rPr>
                <w:rFonts w:ascii="Arial" w:cs="Arial" w:eastAsia="Arial" w:hAnsi="Arial"/>
                <w:sz w:val="18"/>
                <w:szCs w:val="18"/>
                <w:color w:val="auto"/>
                <w:w w:val="97"/>
              </w:rPr>
              <w:t>OWNED BY EACH</w:t>
            </w: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right w:val="single" w:sz="8" w:color="auto"/>
            </w:tcBorders>
            <w:shd w:val="clear" w:color="auto" w:fill="000000"/>
          </w:tcPr>
          <w:p>
            <w:pPr>
              <w:spacing w:after="0"/>
              <w:rPr>
                <w:sz w:val="21"/>
                <w:szCs w:val="21"/>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16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2,155,860</w:t>
            </w:r>
          </w:p>
        </w:tc>
        <w:tc>
          <w:tcPr>
            <w:tcW w:w="2040" w:type="dxa"/>
            <w:vAlign w:val="bottom"/>
            <w:tcBorders>
              <w:right w:val="single" w:sz="8" w:color="auto"/>
            </w:tcBorders>
          </w:tcPr>
          <w:p>
            <w:pPr>
              <w:spacing w:after="0"/>
              <w:rPr>
                <w:sz w:val="21"/>
                <w:szCs w:val="21"/>
                <w:color w:val="auto"/>
              </w:rPr>
            </w:pPr>
          </w:p>
        </w:tc>
      </w:tr>
      <w:tr>
        <w:trPr>
          <w:trHeight w:val="224"/>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auto"/>
            </w:tcBorders>
          </w:tcPr>
          <w:p>
            <w:pPr>
              <w:spacing w:after="0"/>
              <w:rPr>
                <w:sz w:val="19"/>
                <w:szCs w:val="19"/>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top w:val="single" w:sz="8" w:color="auto"/>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2,155,860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2,155,860</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HC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3</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68401U105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WOLVERINE TRADING PARTNERS, INC.</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x</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 (see Item 3)</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Illinois</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2,155,860</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2,155,860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2,155,860</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CO/HC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4</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68401U105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Borders>
              <w:right w:val="single" w:sz="8" w:color="auto"/>
            </w:tcBorders>
          </w:tcPr>
          <w:p>
            <w:pPr>
              <w:spacing w:after="0"/>
              <w:rPr>
                <w:sz w:val="18"/>
                <w:szCs w:val="18"/>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CHRISTOPHER L. GUST</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x</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 (see Item 3)</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USA</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4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6"/>
              </w:rPr>
              <w:t>NUMBER OF</w:t>
            </w: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SHARES</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1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40" w:type="dxa"/>
            <w:vAlign w:val="bottom"/>
            <w:tcBorders>
              <w:right w:val="single" w:sz="8" w:color="auto"/>
            </w:tcBorders>
            <w:gridSpan w:val="2"/>
          </w:tcPr>
          <w:p>
            <w:pPr>
              <w:jc w:val="center"/>
              <w:ind w:right="20"/>
              <w:spacing w:after="0" w:line="182" w:lineRule="exact"/>
              <w:rPr>
                <w:sz w:val="20"/>
                <w:szCs w:val="20"/>
                <w:color w:val="auto"/>
              </w:rPr>
            </w:pPr>
            <w:r>
              <w:rPr>
                <w:rFonts w:ascii="Arial" w:cs="Arial" w:eastAsia="Arial" w:hAnsi="Arial"/>
                <w:sz w:val="18"/>
                <w:szCs w:val="18"/>
                <w:color w:val="auto"/>
                <w:w w:val="97"/>
              </w:rPr>
              <w:t>OWNED BY EACH</w:t>
            </w: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right w:val="single" w:sz="8" w:color="auto"/>
            </w:tcBorders>
            <w:shd w:val="clear" w:color="auto" w:fill="000000"/>
          </w:tcPr>
          <w:p>
            <w:pPr>
              <w:spacing w:after="0"/>
              <w:rPr>
                <w:sz w:val="21"/>
                <w:szCs w:val="21"/>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16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2,155,860</w:t>
            </w:r>
          </w:p>
        </w:tc>
        <w:tc>
          <w:tcPr>
            <w:tcW w:w="2040" w:type="dxa"/>
            <w:vAlign w:val="bottom"/>
            <w:tcBorders>
              <w:right w:val="single" w:sz="8" w:color="auto"/>
            </w:tcBorders>
          </w:tcPr>
          <w:p>
            <w:pPr>
              <w:spacing w:after="0"/>
              <w:rPr>
                <w:sz w:val="21"/>
                <w:szCs w:val="21"/>
                <w:color w:val="auto"/>
              </w:rPr>
            </w:pPr>
          </w:p>
        </w:tc>
      </w:tr>
      <w:tr>
        <w:trPr>
          <w:trHeight w:val="224"/>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auto"/>
            </w:tcBorders>
          </w:tcPr>
          <w:p>
            <w:pPr>
              <w:spacing w:after="0"/>
              <w:rPr>
                <w:sz w:val="19"/>
                <w:szCs w:val="19"/>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top w:val="single" w:sz="8" w:color="auto"/>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2,155,860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2,155,860</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IN/HC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5</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68401U105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ROBERT R. BELLICK</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x</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 (see Item 3)</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USA</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2,155,860</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- 0 -</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2,155,860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2,155,860</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IN/HC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6</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68401U105</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constitutes the Schedule 13D filed by the undersigned (the “Schedule 13D”).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r>
        <w:rPr>
          <w:rFonts w:ascii="Arial" w:cs="Arial" w:eastAsia="Arial" w:hAnsi="Arial"/>
          <w:sz w:val="16"/>
          <w:szCs w:val="16"/>
          <w:color w:val="auto"/>
        </w:rPr>
        <w:t>.</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This statement relates to the common stock, par value $0.001 per share (the “Shares”), of OptimizeRx Corporation, a Nevada corporation (the “Issuer”). The address of the principal executive offices of the Issuer is 400 Water Street, Suite 200, Rochester, MI, 48307.</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r>
        <w:rPr>
          <w:rFonts w:ascii="Arial" w:cs="Arial" w:eastAsia="Arial" w:hAnsi="Arial"/>
          <w:sz w:val="16"/>
          <w:szCs w:val="16"/>
          <w:color w:val="auto"/>
        </w:rPr>
        <w:t>.</w:t>
      </w:r>
    </w:p>
    <w:p>
      <w:pPr>
        <w:spacing w:after="0" w:line="252" w:lineRule="exact"/>
        <w:rPr>
          <w:sz w:val="20"/>
          <w:szCs w:val="20"/>
          <w:color w:val="auto"/>
        </w:rPr>
      </w:pPr>
    </w:p>
    <w:p>
      <w:pPr>
        <w:ind w:left="2000" w:hanging="695"/>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52"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Wolverine Asset Management, LLC, an Illinois limited liability company (“WAM”), as the investment manager of Wolverine Flagship Fund Trading Limited (“Flagship”);</w:t>
      </w:r>
    </w:p>
    <w:p>
      <w:pPr>
        <w:spacing w:after="0" w:line="197"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Wolverine Holdings, L.P., an Illinois limited partnership (“WH”), as the sole member and manager of WAM;</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Wolverine Trading Partners, Inc., an Illinois corporation (“WTP”), as the sole general partner of WH;</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Christopher L. Gust, as a control shareholder of WTP; and</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Robert R. Bellick, as a control shareholder of WTP.</w:t>
      </w:r>
    </w:p>
    <w:p>
      <w:pPr>
        <w:spacing w:after="0" w:line="252"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51" w:lineRule="exact"/>
        <w:rPr>
          <w:sz w:val="20"/>
          <w:szCs w:val="20"/>
          <w:color w:val="auto"/>
        </w:rPr>
      </w:pPr>
    </w:p>
    <w:p>
      <w:pPr>
        <w:ind w:firstLine="1305"/>
        <w:spacing w:after="0" w:line="277" w:lineRule="auto"/>
        <w:tabs>
          <w:tab w:leader="none" w:pos="210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address of the principal office of each of WAM and Mr. Gust is 175 W. Jackson Blvd., Suite 340, Chicago, Illinois 60604. The address of the principal office of each of WH, WTP and Mr. Bellick is 175 W. Jackson Blvd., Suite 200, Chicago, Illinois 60604.</w:t>
      </w:r>
    </w:p>
    <w:p>
      <w:pPr>
        <w:spacing w:after="0" w:line="197" w:lineRule="exact"/>
        <w:rPr>
          <w:rFonts w:ascii="Arial" w:cs="Arial" w:eastAsia="Arial" w:hAnsi="Arial"/>
          <w:sz w:val="18"/>
          <w:szCs w:val="18"/>
          <w:color w:val="auto"/>
        </w:rPr>
      </w:pPr>
    </w:p>
    <w:p>
      <w:pPr>
        <w:jc w:val="both"/>
        <w:ind w:firstLine="1305"/>
        <w:spacing w:after="0" w:line="286" w:lineRule="auto"/>
        <w:tabs>
          <w:tab w:leader="none" w:pos="198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principal business of WAM is serving as the investment manager of affiliated private investment funds. The principal business of WH is serving as the sole member and manager of WAM and other affiliated entities. The principal business of WTP is serving as the sole general partner of WH. The principal occupation of each of Messrs. Bellick and Gust is serving as the controlling shareholders of WTP.</w:t>
      </w:r>
    </w:p>
    <w:p>
      <w:pPr>
        <w:spacing w:after="0" w:line="192" w:lineRule="exact"/>
        <w:rPr>
          <w:rFonts w:ascii="Arial" w:cs="Arial" w:eastAsia="Arial" w:hAnsi="Arial"/>
          <w:sz w:val="17"/>
          <w:szCs w:val="17"/>
          <w:color w:val="auto"/>
        </w:rPr>
      </w:pPr>
    </w:p>
    <w:p>
      <w:pPr>
        <w:ind w:left="2100" w:hanging="795"/>
        <w:spacing w:after="0"/>
        <w:tabs>
          <w:tab w:leader="none" w:pos="2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Reporting Person has, during the last five (5) years, been convicted in a criminal proceeding (excluding traffic violations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similar misdemeanors).</w:t>
      </w:r>
    </w:p>
    <w:p>
      <w:pPr>
        <w:spacing w:after="0" w:line="237" w:lineRule="exact"/>
        <w:rPr>
          <w:rFonts w:ascii="Arial" w:cs="Arial" w:eastAsia="Arial" w:hAnsi="Arial"/>
          <w:sz w:val="16"/>
          <w:szCs w:val="16"/>
          <w:color w:val="auto"/>
        </w:rPr>
      </w:pPr>
    </w:p>
    <w:p>
      <w:pPr>
        <w:jc w:val="both"/>
        <w:ind w:firstLine="1305"/>
        <w:spacing w:after="0" w:line="259" w:lineRule="auto"/>
        <w:tabs>
          <w:tab w:leader="none" w:pos="2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except as follows. WAM is subject to an SEC administrative order dated October 8, 2015, File No. 3-16890.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68401U105</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Without admitting or denying the findings in the Order that WAM violated Section 204A of the Investment Advisers Act of 1940, WAM has agreed to cease and desist from committing or causing any future violations of such provision, disgorge profits of approximately $365,000 and pay prejudgment interest of approximately $39,000, and pay a civil penalty of $375,000. No fines or disgorgements have been paid by WAM’s advisory clients and WAM and its affiliates took prompt steps to enhance policies and procedures relating to information barriers. The Order did not include any finding that (i) the trading itself by WAM was improper, (ii) any individuals at WAM committed any violations of the federal securities laws, or (iii) there was any harm to any WAM investor.</w:t>
      </w:r>
    </w:p>
    <w:p>
      <w:pPr>
        <w:spacing w:after="0" w:line="220" w:lineRule="exact"/>
        <w:rPr>
          <w:sz w:val="20"/>
          <w:szCs w:val="20"/>
          <w:color w:val="auto"/>
        </w:rPr>
      </w:pPr>
    </w:p>
    <w:p>
      <w:pPr>
        <w:ind w:left="1980" w:hanging="675"/>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Messrs. Bellick and Gust is a citizen of the United States of America.</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Item 3.</w:t>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securities reported herein (as described in Item 4) were purchased for the account of Flagship. Shares purchased for the accounts of Flagship were purchased with working capital (which may, at any given time, include margin loans made by brokerage firms in the ordinary course of business) in open market purchases, except as otherwise noted herein, and in Schedule A, which is incorporated by reference herein. With respect to the Shares purchased for the account of Flagship, a total of approximately $2,577,977 was paid for the 2,155,860 Shares. The initial 2,083,500 Shares were purchased pursuant to the Issuer’s private placement in March 2014.</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The Reporting Persons are engaged in the business of securities analysis and investment. The Reporting Persons analyze the operations, capital structure and markets of companies in which they invest, including the Issuer, on a continuous basis through analysis of documentation and discussions with knowledgeable industry and market observers and with representatives of such companies (often at the invitation of management). As a result of these analytical activities one or more of the Reporting Persons may engage in communications with management and the Board of Directors of the Issuer, engage in discussions with stockholders of the Issuer and others about the Issuer and the Reporting Persons’ investment, including, but not limited to, equity analysts and market participants making proposals to the Issuer concerning changes to the capitalization, ownership structure, board structure (including board composition) or operations of the Issuer.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w:t>
      </w:r>
    </w:p>
    <w:p>
      <w:pPr>
        <w:spacing w:after="0" w:line="20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Each of the Reporting Persons intends to adhere to the foregoing investment philosophy with respect to the Issuer. However, none of the Reporting Persons intends to seek control of the Issuer or participate in the management of the Issuer. In pursuing this investment philosophy, on February 28, 2017, Wolverine Asset Management, LLC (together with its affiliates, “Wolverine”) delivered a letter to the Issuer’s Board of Directors and CEO, William J. Febbo. Although in the letter, Wolverine, an investor of the Issuer since the March 2014 private placement, expressed its disappointment that the Issuer has not made more progress with customer penetration over the past three years, nor developed sufficient liquidity for its shareholders, Wolverine continues to believe that the Issuer’s technology, strong electronic health record company relationships, and management team are poised for success. Moreover, Wolverine further suggested that in order to achieve this success sooner, the Issuer should either be coupled with a strategic partner or sold outright to an industry player. Wolverine believes that the Issuer is an ideal acquisition target to strategic players in the healthcare services sector due to a potential acquirer’s ability to put more products/services through an established and growing set of the Issuer’s “pipes” that can more efficiently access both doctors and patients, all without additional capital expenditures. In addition, Wolverine believes that eliminating certain risks/costs associated with operating as an OTC-traded, illiquid public company, would immediately inure to the benefit of a bigger, strategic owner. To that end, Wolverine requested that the Board: (i) immediately form a strategic alternatives committee (“Committee”) charged with exploring all options relating to selling a majority stake in the Issuer to a strategic partner or selling the Issuer outright to an industry player and (ii) hire an appropriate investment bank to advise the Committee and to conduct such an auction process. The full text of the letter is attached hereto as Exhibit 99.1 and is incorporated herein by reference.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68401U105</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As the Reporting Persons intend to review their investment in the Issuer on a continuing basis, the Reporting Persons may purchase additional Shares, sell some or all of their Shares, enter into financial instruments or other agreements that increase or decrease the Reporting Persons’ economic or beneficial exposure with respect to their investment in the Issuer, or change their intention with respect to any and all matters referred to in Item 4.</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29,672,132 Shares outstanding, as of November 4, 2016, which is the total number of Shares outstanding as reported in the Issuer’s Quarterly Report on Form 10-Q filed with the Securities and Exchange Commission on November 7, 2016.</w:t>
      </w:r>
    </w:p>
    <w:p>
      <w:pPr>
        <w:spacing w:after="0" w:line="20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WAM</w:t>
      </w:r>
    </w:p>
    <w:p>
      <w:pPr>
        <w:spacing w:after="0" w:line="252" w:lineRule="exact"/>
        <w:rPr>
          <w:rFonts w:ascii="Arial" w:cs="Arial" w:eastAsia="Arial" w:hAnsi="Arial"/>
          <w:sz w:val="18"/>
          <w:szCs w:val="18"/>
          <w:color w:val="auto"/>
        </w:rPr>
      </w:pPr>
    </w:p>
    <w:p>
      <w:pPr>
        <w:ind w:left="1300" w:right="860" w:hanging="644"/>
        <w:spacing w:after="0" w:line="53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WAM, as the investment manager of Flagship, may be deemed the beneficial owner of the 2,155,860 Shares owned by Flagship. Percentage: Approximately 7.3%</w:t>
      </w: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direct vote: 2,155,860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2,155,860</w:t>
      </w:r>
    </w:p>
    <w:p>
      <w:pPr>
        <w:spacing w:after="0" w:line="23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WAM has not entered into any transactions in the Shares during the past sixty days. The transactions on behalf of Flagship during the past sixty days are set forth in Schedule A and are incorporated herein by reference.</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w:t>
      </w:r>
    </w:p>
    <w:p>
      <w:pPr>
        <w:spacing w:after="0" w:line="252" w:lineRule="exact"/>
        <w:rPr>
          <w:rFonts w:ascii="Arial" w:cs="Arial" w:eastAsia="Arial" w:hAnsi="Arial"/>
          <w:sz w:val="18"/>
          <w:szCs w:val="18"/>
          <w:color w:val="auto"/>
        </w:rPr>
      </w:pPr>
    </w:p>
    <w:p>
      <w:pPr>
        <w:ind w:left="1300" w:right="920" w:hanging="644"/>
        <w:spacing w:after="0" w:line="53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WH, as the sole member and manager of WAM, may be deemed the beneficial owner of the 2,155,860 Shares owned by WAM. Percentage: Approximately 7.3%</w:t>
      </w: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direct vote: 2,155,860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2,155,860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68401U105</w:t>
      </w:r>
    </w:p>
    <w:p>
      <w:pPr>
        <w:spacing w:after="0" w:line="252" w:lineRule="exact"/>
        <w:rPr>
          <w:sz w:val="20"/>
          <w:szCs w:val="20"/>
          <w:color w:val="auto"/>
        </w:rPr>
      </w:pPr>
    </w:p>
    <w:p>
      <w:pPr>
        <w:ind w:left="1300" w:right="2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WH has not entered into any transactions in the Shares during the past sixty days. The transactions in the Shares on behalf of Flagship during the past sixty days are set forth in Schedule A and are incorporated herein by reference.</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WTP</w:t>
      </w:r>
    </w:p>
    <w:p>
      <w:pPr>
        <w:spacing w:after="0" w:line="252" w:lineRule="exact"/>
        <w:rPr>
          <w:rFonts w:ascii="Arial" w:cs="Arial" w:eastAsia="Arial" w:hAnsi="Arial"/>
          <w:sz w:val="18"/>
          <w:szCs w:val="18"/>
          <w:color w:val="auto"/>
        </w:rPr>
      </w:pPr>
    </w:p>
    <w:p>
      <w:pPr>
        <w:ind w:left="1300" w:right="1480" w:hanging="644"/>
        <w:spacing w:after="0" w:line="532"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WTP, as the sole general partner of WH, may be deemed the beneficial owner of the 2,155,860 Shares owned by WAM. Percentage: Approximately 7.3%</w:t>
      </w: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2,155,860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2,155,860</w:t>
      </w:r>
    </w:p>
    <w:p>
      <w:pPr>
        <w:spacing w:after="0" w:line="237"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WTP has not entered into any transactions in the Shares during the past sixty days. The transactions in the Shares on behalf of Flagship during the past sixty days are set forth in Schedule A and are incorporated herein by reference.</w:t>
      </w:r>
    </w:p>
    <w:p>
      <w:pPr>
        <w:spacing w:after="0" w:line="197" w:lineRule="exact"/>
        <w:rPr>
          <w:rFonts w:ascii="Arial" w:cs="Arial" w:eastAsia="Arial" w:hAnsi="Arial"/>
          <w:sz w:val="18"/>
          <w:szCs w:val="18"/>
          <w:color w:val="auto"/>
        </w:rPr>
      </w:pPr>
    </w:p>
    <w:p>
      <w:pPr>
        <w:ind w:left="680" w:hanging="67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Gust</w:t>
      </w:r>
    </w:p>
    <w:p>
      <w:pPr>
        <w:spacing w:after="0" w:line="252" w:lineRule="exact"/>
        <w:rPr>
          <w:rFonts w:ascii="Arial" w:cs="Arial" w:eastAsia="Arial" w:hAnsi="Arial"/>
          <w:sz w:val="18"/>
          <w:szCs w:val="18"/>
          <w:color w:val="auto"/>
        </w:rPr>
      </w:pPr>
    </w:p>
    <w:p>
      <w:pPr>
        <w:ind w:left="1300" w:right="1220" w:hanging="644"/>
        <w:spacing w:after="0" w:line="532"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Mr. Gust, a controlling shareholder of WTP, may be deemed the beneficial owner of the 2,155,860 Shares owned by WAM. Percentage: Approximately 7.3%</w:t>
      </w: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2,155,860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2,155,860</w:t>
      </w:r>
    </w:p>
    <w:p>
      <w:pPr>
        <w:spacing w:after="0" w:line="23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Mr. Gust has not entered into any transactions in the Shares during the past sixty days. The transactions in the Shares on behalf of Flagship during the past sixty days are set forth in Schedule A and are incorporated herein by reference.</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Bellick</w:t>
      </w:r>
    </w:p>
    <w:p>
      <w:pPr>
        <w:spacing w:after="0" w:line="252" w:lineRule="exact"/>
        <w:rPr>
          <w:rFonts w:ascii="Arial" w:cs="Arial" w:eastAsia="Arial" w:hAnsi="Arial"/>
          <w:sz w:val="18"/>
          <w:szCs w:val="18"/>
          <w:color w:val="auto"/>
        </w:rPr>
      </w:pPr>
    </w:p>
    <w:p>
      <w:pPr>
        <w:ind w:left="1300" w:right="1040" w:hanging="644"/>
        <w:spacing w:after="0" w:line="532"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Mr. Bellick, a controlling shareholder of WTP, may be deemed the beneficial owner of the 2,155,860 Shares owned by WAM. Percentage: Approximately 7.3%</w:t>
      </w: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2,155,860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2,155,860</w:t>
      </w:r>
    </w:p>
    <w:p>
      <w:pPr>
        <w:spacing w:after="0" w:line="23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Mr. Bellick has not entered into any transactions in the Shares during the past sixty days. The transactions in the Shares on behalf of Flagship during the past sixty days are set forth in Schedule A and are incorporated herein by reference.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68401U105</w:t>
      </w:r>
    </w:p>
    <w:p>
      <w:pPr>
        <w:spacing w:after="0" w:line="252" w:lineRule="exact"/>
        <w:rPr>
          <w:sz w:val="20"/>
          <w:szCs w:val="20"/>
          <w:color w:val="auto"/>
        </w:rPr>
      </w:pPr>
    </w:p>
    <w:p>
      <w:pPr>
        <w:ind w:right="260" w:firstLine="1297"/>
        <w:spacing w:after="0" w:line="286" w:lineRule="auto"/>
        <w:rPr>
          <w:sz w:val="20"/>
          <w:szCs w:val="20"/>
          <w:color w:val="auto"/>
        </w:rPr>
      </w:pPr>
      <w:r>
        <w:rPr>
          <w:rFonts w:ascii="Arial" w:cs="Arial" w:eastAsia="Arial" w:hAnsi="Arial"/>
          <w:sz w:val="17"/>
          <w:szCs w:val="17"/>
          <w:color w:val="auto"/>
        </w:rPr>
        <w:t>Each Reporting Person, as a member of a “group” with the other Reporting Persons for the purposes of Section 13(d)(3) of the Securities Exchange Act of 1934, as amended, may be deemed the beneficial owner of the Shares directly owned by the other Reporting Persons. Each Reporting Person disclaims beneficial ownership of such Shares except to the extent of his or its pecuniary interest therein.</w:t>
      </w:r>
    </w:p>
    <w:p>
      <w:pPr>
        <w:spacing w:after="0" w:line="193" w:lineRule="exact"/>
        <w:rPr>
          <w:sz w:val="20"/>
          <w:szCs w:val="20"/>
          <w:color w:val="auto"/>
        </w:rPr>
      </w:pPr>
    </w:p>
    <w:p>
      <w:pPr>
        <w:ind w:left="1300" w:right="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proceeds from the sale of, the Shares.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March 6, 2017,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99.2 and is incorporated herein by reference.</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Letter to the CEO, dated February 28, 2017.</w:t>
      </w:r>
    </w:p>
    <w:p>
      <w:pPr>
        <w:spacing w:after="0" w:line="252" w:lineRule="exact"/>
        <w:rPr>
          <w:sz w:val="20"/>
          <w:szCs w:val="20"/>
          <w:color w:val="auto"/>
        </w:rPr>
      </w:pPr>
    </w:p>
    <w:p>
      <w:pPr>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Joint Filing Agreement by and among Wolverine Asset Management, LLC, Wolverine Holdings, L.P., Wolverine Trading Partners, Inc., Christopher L. Gust, and Robert R. Bellick, dated March 6, 2017.</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68401U105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WOLVERINE ASSET MANAGEMENT, LLC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Niraj M. Patel</w:t>
            </w:r>
          </w:p>
        </w:tc>
      </w:tr>
      <w:tr>
        <w:trPr>
          <w:trHeight w:val="202"/>
        </w:trPr>
        <w:tc>
          <w:tcPr>
            <w:tcW w:w="740" w:type="dxa"/>
            <w:vAlign w:val="bottom"/>
          </w:tcPr>
          <w:p>
            <w:pPr>
              <w:spacing w:after="0"/>
              <w:rPr>
                <w:sz w:val="17"/>
                <w:szCs w:val="17"/>
                <w:color w:val="auto"/>
              </w:rPr>
            </w:pPr>
          </w:p>
        </w:tc>
        <w:tc>
          <w:tcPr>
            <w:tcW w:w="7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ind w:left="280"/>
              <w:spacing w:after="0" w:line="201" w:lineRule="exact"/>
              <w:rPr>
                <w:sz w:val="20"/>
                <w:szCs w:val="20"/>
                <w:color w:val="auto"/>
              </w:rPr>
            </w:pPr>
            <w:r>
              <w:rPr>
                <w:rFonts w:ascii="Arial" w:cs="Arial" w:eastAsia="Arial" w:hAnsi="Arial"/>
                <w:sz w:val="18"/>
                <w:szCs w:val="18"/>
                <w:color w:val="auto"/>
              </w:rPr>
              <w:t>Niraj M. Patel</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280"/>
              <w:spacing w:after="0"/>
              <w:rPr>
                <w:sz w:val="20"/>
                <w:szCs w:val="20"/>
                <w:color w:val="auto"/>
              </w:rPr>
            </w:pPr>
            <w:r>
              <w:rPr>
                <w:rFonts w:ascii="Arial" w:cs="Arial" w:eastAsia="Arial" w:hAnsi="Arial"/>
                <w:sz w:val="18"/>
                <w:szCs w:val="18"/>
                <w:color w:val="auto"/>
              </w:rPr>
              <w:t>Chief Legal Officer</w:t>
            </w:r>
          </w:p>
        </w:tc>
      </w:tr>
      <w:tr>
        <w:trPr>
          <w:trHeight w:val="702"/>
        </w:trPr>
        <w:tc>
          <w:tcPr>
            <w:tcW w:w="5640" w:type="dxa"/>
            <w:vAlign w:val="bottom"/>
            <w:gridSpan w:val="3"/>
          </w:tcPr>
          <w:p>
            <w:pPr>
              <w:spacing w:after="0"/>
              <w:rPr>
                <w:sz w:val="20"/>
                <w:szCs w:val="20"/>
                <w:color w:val="auto"/>
              </w:rPr>
            </w:pPr>
            <w:r>
              <w:rPr>
                <w:rFonts w:ascii="Arial" w:cs="Arial" w:eastAsia="Arial" w:hAnsi="Arial"/>
                <w:sz w:val="18"/>
                <w:szCs w:val="18"/>
                <w:color w:val="auto"/>
              </w:rPr>
              <w:t>WOLVERINE HOLDINGS, L.P.</w:t>
            </w:r>
          </w:p>
        </w:tc>
      </w:tr>
      <w:tr>
        <w:trPr>
          <w:trHeight w:val="43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202"/>
        </w:trPr>
        <w:tc>
          <w:tcPr>
            <w:tcW w:w="740" w:type="dxa"/>
            <w:vAlign w:val="bottom"/>
          </w:tcPr>
          <w:p>
            <w:pPr>
              <w:spacing w:after="0"/>
              <w:rPr>
                <w:sz w:val="17"/>
                <w:szCs w:val="17"/>
                <w:color w:val="auto"/>
              </w:rPr>
            </w:pPr>
          </w:p>
        </w:tc>
        <w:tc>
          <w:tcPr>
            <w:tcW w:w="7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ind w:left="280"/>
              <w:spacing w:after="0" w:line="201" w:lineRule="exact"/>
              <w:rPr>
                <w:sz w:val="20"/>
                <w:szCs w:val="20"/>
                <w:color w:val="auto"/>
              </w:rPr>
            </w:pPr>
            <w:r>
              <w:rPr>
                <w:rFonts w:ascii="Arial" w:cs="Arial" w:eastAsia="Arial" w:hAnsi="Arial"/>
                <w:sz w:val="18"/>
                <w:szCs w:val="18"/>
                <w:color w:val="auto"/>
              </w:rPr>
              <w:t>Christopher L. Gust</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280"/>
              <w:spacing w:after="0"/>
              <w:rPr>
                <w:sz w:val="20"/>
                <w:szCs w:val="20"/>
                <w:color w:val="auto"/>
              </w:rPr>
            </w:pPr>
            <w:r>
              <w:rPr>
                <w:rFonts w:ascii="Arial" w:cs="Arial" w:eastAsia="Arial" w:hAnsi="Arial"/>
                <w:sz w:val="18"/>
                <w:szCs w:val="18"/>
                <w:color w:val="auto"/>
              </w:rPr>
              <w:t>Managing Director</w:t>
            </w:r>
          </w:p>
        </w:tc>
      </w:tr>
      <w:tr>
        <w:trPr>
          <w:trHeight w:val="702"/>
        </w:trPr>
        <w:tc>
          <w:tcPr>
            <w:tcW w:w="5640" w:type="dxa"/>
            <w:vAlign w:val="bottom"/>
            <w:gridSpan w:val="3"/>
          </w:tcPr>
          <w:p>
            <w:pPr>
              <w:spacing w:after="0"/>
              <w:rPr>
                <w:sz w:val="20"/>
                <w:szCs w:val="20"/>
                <w:color w:val="auto"/>
              </w:rPr>
            </w:pPr>
            <w:r>
              <w:rPr>
                <w:rFonts w:ascii="Arial" w:cs="Arial" w:eastAsia="Arial" w:hAnsi="Arial"/>
                <w:sz w:val="18"/>
                <w:szCs w:val="18"/>
                <w:color w:val="auto"/>
              </w:rPr>
              <w:t>WOLVERINE TRADING PARTNERS, INC.</w:t>
            </w:r>
          </w:p>
        </w:tc>
      </w:tr>
      <w:tr>
        <w:trPr>
          <w:trHeight w:val="43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202"/>
        </w:trPr>
        <w:tc>
          <w:tcPr>
            <w:tcW w:w="740" w:type="dxa"/>
            <w:vAlign w:val="bottom"/>
          </w:tcPr>
          <w:p>
            <w:pPr>
              <w:spacing w:after="0"/>
              <w:rPr>
                <w:sz w:val="17"/>
                <w:szCs w:val="17"/>
                <w:color w:val="auto"/>
              </w:rPr>
            </w:pPr>
          </w:p>
        </w:tc>
        <w:tc>
          <w:tcPr>
            <w:tcW w:w="7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ind w:left="280"/>
              <w:spacing w:after="0" w:line="201" w:lineRule="exact"/>
              <w:rPr>
                <w:sz w:val="20"/>
                <w:szCs w:val="20"/>
                <w:color w:val="auto"/>
              </w:rPr>
            </w:pPr>
            <w:r>
              <w:rPr>
                <w:rFonts w:ascii="Arial" w:cs="Arial" w:eastAsia="Arial" w:hAnsi="Arial"/>
                <w:sz w:val="18"/>
                <w:szCs w:val="18"/>
                <w:color w:val="auto"/>
              </w:rPr>
              <w:t>Christopher L. Gust</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70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ind w:left="280"/>
              <w:spacing w:after="0"/>
              <w:rPr>
                <w:sz w:val="20"/>
                <w:szCs w:val="20"/>
                <w:color w:val="auto"/>
              </w:rPr>
            </w:pPr>
            <w:r>
              <w:rPr>
                <w:rFonts w:ascii="Arial" w:cs="Arial" w:eastAsia="Arial" w:hAnsi="Arial"/>
                <w:sz w:val="18"/>
                <w:szCs w:val="18"/>
                <w:color w:val="auto"/>
              </w:rPr>
              <w:t>Christopher L. Gust</w:t>
            </w:r>
          </w:p>
        </w:tc>
      </w:tr>
      <w:tr>
        <w:trPr>
          <w:trHeight w:val="695"/>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R. Bellick</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ind w:left="280"/>
              <w:spacing w:after="0"/>
              <w:rPr>
                <w:sz w:val="20"/>
                <w:szCs w:val="20"/>
                <w:color w:val="auto"/>
              </w:rPr>
            </w:pPr>
            <w:r>
              <w:rPr>
                <w:rFonts w:ascii="Arial" w:cs="Arial" w:eastAsia="Arial" w:hAnsi="Arial"/>
                <w:sz w:val="18"/>
                <w:szCs w:val="18"/>
                <w:color w:val="auto"/>
              </w:rPr>
              <w:t>Robert R. Bellick</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3520" w:type="dxa"/>
            <w:vAlign w:val="bottom"/>
            <w:gridSpan w:val="4"/>
          </w:tcPr>
          <w:p>
            <w:pPr>
              <w:spacing w:after="0"/>
              <w:rPr>
                <w:sz w:val="20"/>
                <w:szCs w:val="20"/>
                <w:color w:val="auto"/>
              </w:rPr>
            </w:pPr>
            <w:r>
              <w:rPr>
                <w:rFonts w:ascii="Arial" w:cs="Arial" w:eastAsia="Arial" w:hAnsi="Arial"/>
                <w:sz w:val="18"/>
                <w:szCs w:val="18"/>
                <w:color w:val="auto"/>
              </w:rPr>
              <w:t>CUSIP NO. 68401U105</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SCHEDULE A</w:t>
            </w:r>
          </w:p>
        </w:tc>
        <w:tc>
          <w:tcPr>
            <w:tcW w:w="21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89"/>
              </w:rPr>
              <w:t>Transactions in the Shares During the Past Sixty Days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gridSpan w:val="8"/>
          </w:tcPr>
          <w:p>
            <w:pPr>
              <w:jc w:val="center"/>
              <w:ind w:right="540"/>
              <w:spacing w:after="0"/>
              <w:rPr>
                <w:sz w:val="20"/>
                <w:szCs w:val="20"/>
                <w:color w:val="auto"/>
              </w:rPr>
            </w:pPr>
            <w:r>
              <w:rPr>
                <w:rFonts w:ascii="Arial" w:cs="Arial" w:eastAsia="Arial" w:hAnsi="Arial"/>
                <w:sz w:val="18"/>
                <w:szCs w:val="18"/>
                <w:b w:val="1"/>
                <w:bCs w:val="1"/>
                <w:color w:val="auto"/>
              </w:rPr>
              <w:t>WOLVERINE FLAGSHIP FUND TRADING LIMITED</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40" w:type="dxa"/>
            <w:vAlign w:val="bottom"/>
            <w:gridSpan w:val="2"/>
          </w:tcPr>
          <w:p>
            <w:pPr>
              <w:jc w:val="center"/>
              <w:ind w:right="1000"/>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gridSpan w:val="5"/>
          </w:tcPr>
          <w:p>
            <w:pPr>
              <w:jc w:val="center"/>
              <w:ind w:right="1620"/>
              <w:spacing w:after="0"/>
              <w:rPr>
                <w:sz w:val="20"/>
                <w:szCs w:val="20"/>
                <w:color w:val="auto"/>
              </w:rPr>
            </w:pPr>
            <w:r>
              <w:rPr>
                <w:rFonts w:ascii="Arial" w:cs="Arial" w:eastAsia="Arial" w:hAnsi="Arial"/>
                <w:sz w:val="18"/>
                <w:szCs w:val="18"/>
                <w:color w:val="auto"/>
                <w:w w:val="89"/>
              </w:rPr>
              <w:t>Price Per</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60" w:type="dxa"/>
            <w:vAlign w:val="bottom"/>
            <w:gridSpan w:val="2"/>
          </w:tcPr>
          <w:p>
            <w:pPr>
              <w:jc w:val="center"/>
              <w:ind w:right="1360"/>
              <w:spacing w:after="0"/>
              <w:rPr>
                <w:sz w:val="20"/>
                <w:szCs w:val="20"/>
                <w:color w:val="auto"/>
              </w:rPr>
            </w:pPr>
            <w:r>
              <w:rPr>
                <w:rFonts w:ascii="Arial" w:cs="Arial" w:eastAsia="Arial" w:hAnsi="Arial"/>
                <w:sz w:val="18"/>
                <w:szCs w:val="18"/>
                <w:color w:val="auto"/>
                <w:w w:val="92"/>
              </w:rPr>
              <w:t>Date of</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40" w:type="dxa"/>
            <w:vAlign w:val="bottom"/>
            <w:gridSpan w:val="2"/>
          </w:tcPr>
          <w:p>
            <w:pPr>
              <w:jc w:val="center"/>
              <w:ind w:right="1000"/>
              <w:spacing w:after="0" w:line="190" w:lineRule="exact"/>
              <w:rPr>
                <w:sz w:val="20"/>
                <w:szCs w:val="20"/>
                <w:color w:val="auto"/>
              </w:rPr>
            </w:pPr>
            <w:r>
              <w:rPr>
                <w:rFonts w:ascii="Arial" w:cs="Arial" w:eastAsia="Arial" w:hAnsi="Arial"/>
                <w:sz w:val="18"/>
                <w:szCs w:val="18"/>
                <w:color w:val="auto"/>
                <w:w w:val="89"/>
              </w:rPr>
              <w:t>Purchased/(Sold)</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300" w:type="dxa"/>
            <w:vAlign w:val="bottom"/>
            <w:gridSpan w:val="6"/>
          </w:tcPr>
          <w:p>
            <w:pPr>
              <w:jc w:val="center"/>
              <w:ind w:right="2160"/>
              <w:spacing w:after="0" w:line="190" w:lineRule="exact"/>
              <w:rPr>
                <w:sz w:val="20"/>
                <w:szCs w:val="20"/>
                <w:color w:val="auto"/>
              </w:rPr>
            </w:pPr>
            <w:r>
              <w:rPr>
                <w:rFonts w:ascii="Arial" w:cs="Arial" w:eastAsia="Arial" w:hAnsi="Arial"/>
                <w:sz w:val="18"/>
                <w:szCs w:val="18"/>
                <w:u w:val="single" w:color="auto"/>
                <w:color w:val="auto"/>
                <w:w w:val="88"/>
              </w:rPr>
              <w:t>Share($</w:t>
            </w:r>
            <w:r>
              <w:rPr>
                <w:rFonts w:ascii="Arial" w:cs="Arial" w:eastAsia="Arial" w:hAnsi="Arial"/>
                <w:sz w:val="18"/>
                <w:szCs w:val="18"/>
                <w:color w:val="auto"/>
                <w:w w:val="88"/>
              </w:rPr>
              <w:t>)</w:t>
            </w:r>
          </w:p>
        </w:tc>
        <w:tc>
          <w:tcPr>
            <w:tcW w:w="2980" w:type="dxa"/>
            <w:vAlign w:val="bottom"/>
            <w:gridSpan w:val="3"/>
          </w:tcPr>
          <w:p>
            <w:pPr>
              <w:jc w:val="center"/>
              <w:ind w:right="840"/>
              <w:spacing w:after="0" w:line="190" w:lineRule="exact"/>
              <w:rPr>
                <w:sz w:val="20"/>
                <w:szCs w:val="20"/>
                <w:color w:val="auto"/>
              </w:rPr>
            </w:pPr>
            <w:r>
              <w:rPr>
                <w:rFonts w:ascii="Arial" w:cs="Arial" w:eastAsia="Arial" w:hAnsi="Arial"/>
                <w:sz w:val="18"/>
                <w:szCs w:val="18"/>
                <w:color w:val="auto"/>
                <w:w w:val="86"/>
              </w:rPr>
              <w:t>Purchase / Sale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90"/>
              </w:rPr>
              <w:t>(500)</w:t>
            </w:r>
          </w:p>
        </w:tc>
        <w:tc>
          <w:tcPr>
            <w:tcW w:w="100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jc w:val="center"/>
              <w:ind w:left="1790"/>
              <w:spacing w:after="0"/>
              <w:rPr>
                <w:sz w:val="20"/>
                <w:szCs w:val="20"/>
                <w:color w:val="auto"/>
              </w:rPr>
            </w:pPr>
            <w:r>
              <w:rPr>
                <w:rFonts w:ascii="Arial" w:cs="Arial" w:eastAsia="Arial" w:hAnsi="Arial"/>
                <w:sz w:val="18"/>
                <w:szCs w:val="18"/>
                <w:color w:val="auto"/>
                <w:w w:val="90"/>
              </w:rPr>
              <w:t>0.8000</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01/10/2017</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jc w:val="center"/>
              <w:ind w:left="1170"/>
              <w:spacing w:after="0"/>
              <w:rPr>
                <w:sz w:val="20"/>
                <w:szCs w:val="20"/>
                <w:color w:val="auto"/>
              </w:rPr>
            </w:pPr>
            <w:r>
              <w:rPr>
                <w:rFonts w:ascii="Arial" w:cs="Arial" w:eastAsia="Arial" w:hAnsi="Arial"/>
                <w:sz w:val="18"/>
                <w:szCs w:val="18"/>
                <w:color w:val="auto"/>
                <w:w w:val="91"/>
              </w:rPr>
              <w:t>(1,800)</w:t>
            </w:r>
          </w:p>
        </w:tc>
        <w:tc>
          <w:tcPr>
            <w:tcW w:w="1000" w:type="dxa"/>
            <w:vAlign w:val="bottom"/>
          </w:tcPr>
          <w:p>
            <w:pPr>
              <w:spacing w:after="0"/>
              <w:rPr>
                <w:sz w:val="18"/>
                <w:szCs w:val="18"/>
                <w:color w:val="auto"/>
              </w:rPr>
            </w:pPr>
          </w:p>
        </w:tc>
        <w:tc>
          <w:tcPr>
            <w:tcW w:w="2500" w:type="dxa"/>
            <w:vAlign w:val="bottom"/>
            <w:gridSpan w:val="4"/>
          </w:tcPr>
          <w:p>
            <w:pPr>
              <w:jc w:val="center"/>
              <w:ind w:left="1790"/>
              <w:spacing w:after="0"/>
              <w:rPr>
                <w:sz w:val="20"/>
                <w:szCs w:val="20"/>
                <w:color w:val="auto"/>
              </w:rPr>
            </w:pPr>
            <w:r>
              <w:rPr>
                <w:rFonts w:ascii="Arial" w:cs="Arial" w:eastAsia="Arial" w:hAnsi="Arial"/>
                <w:sz w:val="18"/>
                <w:szCs w:val="18"/>
                <w:color w:val="auto"/>
                <w:w w:val="90"/>
              </w:rPr>
              <w:t>0.6900</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02/10/2017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90"/>
              </w:rPr>
              <w:t>(200)</w:t>
            </w:r>
          </w:p>
        </w:tc>
        <w:tc>
          <w:tcPr>
            <w:tcW w:w="100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jc w:val="center"/>
              <w:ind w:left="1790"/>
              <w:spacing w:after="0"/>
              <w:rPr>
                <w:sz w:val="20"/>
                <w:szCs w:val="20"/>
                <w:color w:val="auto"/>
              </w:rPr>
            </w:pPr>
            <w:r>
              <w:rPr>
                <w:rFonts w:ascii="Arial" w:cs="Arial" w:eastAsia="Arial" w:hAnsi="Arial"/>
                <w:sz w:val="18"/>
                <w:szCs w:val="18"/>
                <w:color w:val="auto"/>
                <w:w w:val="90"/>
              </w:rPr>
              <w:t>0.6700</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02/16/2017</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13d-1(k)(1)(iii) under the Securities Exchange Act of 1934, as amended, the persons named below agree to the joint filing on behalf of each of them of a Statement on Schedule 13D (including additional amendments thereto) with respect to the shares of Common Stock, par value $0.001 per share, of OptimizeRx Corporation. This Joint Filing Agreement shall be filed as an Exhibit to such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2017</w:t>
      </w:r>
    </w:p>
    <w:p>
      <w:pPr>
        <w:spacing w:after="0" w:line="25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WOLVERINE ASSET MANAGEMENT, LLC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Niraj M. Patel</w:t>
            </w:r>
          </w:p>
        </w:tc>
      </w:tr>
      <w:tr>
        <w:trPr>
          <w:trHeight w:val="202"/>
        </w:trPr>
        <w:tc>
          <w:tcPr>
            <w:tcW w:w="740" w:type="dxa"/>
            <w:vAlign w:val="bottom"/>
          </w:tcPr>
          <w:p>
            <w:pPr>
              <w:spacing w:after="0"/>
              <w:rPr>
                <w:sz w:val="17"/>
                <w:szCs w:val="17"/>
                <w:color w:val="auto"/>
              </w:rPr>
            </w:pPr>
          </w:p>
        </w:tc>
        <w:tc>
          <w:tcPr>
            <w:tcW w:w="7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ind w:left="280"/>
              <w:spacing w:after="0" w:line="201" w:lineRule="exact"/>
              <w:rPr>
                <w:sz w:val="20"/>
                <w:szCs w:val="20"/>
                <w:color w:val="auto"/>
              </w:rPr>
            </w:pPr>
            <w:r>
              <w:rPr>
                <w:rFonts w:ascii="Arial" w:cs="Arial" w:eastAsia="Arial" w:hAnsi="Arial"/>
                <w:sz w:val="18"/>
                <w:szCs w:val="18"/>
                <w:color w:val="auto"/>
              </w:rPr>
              <w:t>Niraj M. Patel</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280"/>
              <w:spacing w:after="0"/>
              <w:rPr>
                <w:sz w:val="20"/>
                <w:szCs w:val="20"/>
                <w:color w:val="auto"/>
              </w:rPr>
            </w:pPr>
            <w:r>
              <w:rPr>
                <w:rFonts w:ascii="Arial" w:cs="Arial" w:eastAsia="Arial" w:hAnsi="Arial"/>
                <w:sz w:val="18"/>
                <w:szCs w:val="18"/>
                <w:color w:val="auto"/>
              </w:rPr>
              <w:t>Chief Legal Officer</w:t>
            </w:r>
          </w:p>
        </w:tc>
      </w:tr>
      <w:tr>
        <w:trPr>
          <w:trHeight w:val="702"/>
        </w:trPr>
        <w:tc>
          <w:tcPr>
            <w:tcW w:w="5640" w:type="dxa"/>
            <w:vAlign w:val="bottom"/>
            <w:gridSpan w:val="3"/>
          </w:tcPr>
          <w:p>
            <w:pPr>
              <w:spacing w:after="0"/>
              <w:rPr>
                <w:sz w:val="20"/>
                <w:szCs w:val="20"/>
                <w:color w:val="auto"/>
              </w:rPr>
            </w:pPr>
            <w:r>
              <w:rPr>
                <w:rFonts w:ascii="Arial" w:cs="Arial" w:eastAsia="Arial" w:hAnsi="Arial"/>
                <w:sz w:val="18"/>
                <w:szCs w:val="18"/>
                <w:color w:val="auto"/>
              </w:rPr>
              <w:t>WOLVERINE HOLDINGS, L.P.</w:t>
            </w:r>
          </w:p>
        </w:tc>
      </w:tr>
      <w:tr>
        <w:trPr>
          <w:trHeight w:val="43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202"/>
        </w:trPr>
        <w:tc>
          <w:tcPr>
            <w:tcW w:w="740" w:type="dxa"/>
            <w:vAlign w:val="bottom"/>
          </w:tcPr>
          <w:p>
            <w:pPr>
              <w:spacing w:after="0"/>
              <w:rPr>
                <w:sz w:val="17"/>
                <w:szCs w:val="17"/>
                <w:color w:val="auto"/>
              </w:rPr>
            </w:pPr>
          </w:p>
        </w:tc>
        <w:tc>
          <w:tcPr>
            <w:tcW w:w="7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ind w:left="280"/>
              <w:spacing w:after="0" w:line="201" w:lineRule="exact"/>
              <w:rPr>
                <w:sz w:val="20"/>
                <w:szCs w:val="20"/>
                <w:color w:val="auto"/>
              </w:rPr>
            </w:pPr>
            <w:r>
              <w:rPr>
                <w:rFonts w:ascii="Arial" w:cs="Arial" w:eastAsia="Arial" w:hAnsi="Arial"/>
                <w:sz w:val="18"/>
                <w:szCs w:val="18"/>
                <w:color w:val="auto"/>
              </w:rPr>
              <w:t>Christopher L. Gust</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280"/>
              <w:spacing w:after="0"/>
              <w:rPr>
                <w:sz w:val="20"/>
                <w:szCs w:val="20"/>
                <w:color w:val="auto"/>
              </w:rPr>
            </w:pPr>
            <w:r>
              <w:rPr>
                <w:rFonts w:ascii="Arial" w:cs="Arial" w:eastAsia="Arial" w:hAnsi="Arial"/>
                <w:sz w:val="18"/>
                <w:szCs w:val="18"/>
                <w:color w:val="auto"/>
              </w:rPr>
              <w:t>Managing Director</w:t>
            </w:r>
          </w:p>
        </w:tc>
      </w:tr>
      <w:tr>
        <w:trPr>
          <w:trHeight w:val="702"/>
        </w:trPr>
        <w:tc>
          <w:tcPr>
            <w:tcW w:w="5640" w:type="dxa"/>
            <w:vAlign w:val="bottom"/>
            <w:gridSpan w:val="3"/>
          </w:tcPr>
          <w:p>
            <w:pPr>
              <w:spacing w:after="0"/>
              <w:rPr>
                <w:sz w:val="20"/>
                <w:szCs w:val="20"/>
                <w:color w:val="auto"/>
              </w:rPr>
            </w:pPr>
            <w:r>
              <w:rPr>
                <w:rFonts w:ascii="Arial" w:cs="Arial" w:eastAsia="Arial" w:hAnsi="Arial"/>
                <w:sz w:val="18"/>
                <w:szCs w:val="18"/>
                <w:color w:val="auto"/>
              </w:rPr>
              <w:t>WOLVERINE TRADING PARTNERS, INC.</w:t>
            </w:r>
          </w:p>
        </w:tc>
      </w:tr>
      <w:tr>
        <w:trPr>
          <w:trHeight w:val="43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202"/>
        </w:trPr>
        <w:tc>
          <w:tcPr>
            <w:tcW w:w="740" w:type="dxa"/>
            <w:vAlign w:val="bottom"/>
          </w:tcPr>
          <w:p>
            <w:pPr>
              <w:spacing w:after="0"/>
              <w:rPr>
                <w:sz w:val="17"/>
                <w:szCs w:val="17"/>
                <w:color w:val="auto"/>
              </w:rPr>
            </w:pPr>
          </w:p>
        </w:tc>
        <w:tc>
          <w:tcPr>
            <w:tcW w:w="7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140" w:type="dxa"/>
            <w:vAlign w:val="bottom"/>
          </w:tcPr>
          <w:p>
            <w:pPr>
              <w:ind w:left="280"/>
              <w:spacing w:after="0" w:line="201" w:lineRule="exact"/>
              <w:rPr>
                <w:sz w:val="20"/>
                <w:szCs w:val="20"/>
                <w:color w:val="auto"/>
              </w:rPr>
            </w:pPr>
            <w:r>
              <w:rPr>
                <w:rFonts w:ascii="Arial" w:cs="Arial" w:eastAsia="Arial" w:hAnsi="Arial"/>
                <w:sz w:val="18"/>
                <w:szCs w:val="18"/>
                <w:color w:val="auto"/>
              </w:rPr>
              <w:t>Christopher L. Gust</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70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Gust</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ind w:left="280"/>
              <w:spacing w:after="0"/>
              <w:rPr>
                <w:sz w:val="20"/>
                <w:szCs w:val="20"/>
                <w:color w:val="auto"/>
              </w:rPr>
            </w:pPr>
            <w:r>
              <w:rPr>
                <w:rFonts w:ascii="Arial" w:cs="Arial" w:eastAsia="Arial" w:hAnsi="Arial"/>
                <w:sz w:val="18"/>
                <w:szCs w:val="18"/>
                <w:color w:val="auto"/>
              </w:rPr>
              <w:t>Christopher L. Gust</w:t>
            </w:r>
          </w:p>
        </w:tc>
      </w:tr>
      <w:tr>
        <w:trPr>
          <w:trHeight w:val="695"/>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R. Bellick</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140" w:type="dxa"/>
            <w:vAlign w:val="bottom"/>
          </w:tcPr>
          <w:p>
            <w:pPr>
              <w:ind w:left="280"/>
              <w:spacing w:after="0"/>
              <w:rPr>
                <w:sz w:val="20"/>
                <w:szCs w:val="20"/>
                <w:color w:val="auto"/>
              </w:rPr>
            </w:pPr>
            <w:r>
              <w:rPr>
                <w:rFonts w:ascii="Arial" w:cs="Arial" w:eastAsia="Arial" w:hAnsi="Arial"/>
                <w:sz w:val="18"/>
                <w:szCs w:val="18"/>
                <w:color w:val="auto"/>
              </w:rPr>
              <w:t>Robert R. Bellick</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lvl w:ilvl="1">
      <w:lvlJc w:val="left"/>
      <w:lvlText w:val="(%2)"/>
      <w:numFmt w:val="lowerRoman"/>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6"/>
    </w:lvl>
  </w:abstractNum>
  <w:abstractNum w:abstractNumId="5">
    <w:nsid w:val="79E2A9E3"/>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6">
    <w:nsid w:val="7545E146"/>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7">
    <w:nsid w:val="515F007C"/>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2"/>
    </w:lvl>
  </w:abstractNum>
  <w:abstractNum w:abstractNumId="8">
    <w:nsid w:val="5BD062C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2019-12-16T10:08:49Z</dcterms:created>
  <dcterms:modified xsi:type="dcterms:W3CDTF">2019-12-16T10:08:49Z</dcterms:modified>
</cp:coreProperties>
</file>