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ea0204901-8k_optimizer.htm"/>
      <w:bookmarkStart w:id="1" w:name="ksea02049018k_optimizer"/>
      <w:bookmarkEnd w:id="0"/>
      <w:bookmarkEnd w:id="1"/>
      <w:r>
        <w:rPr>
          <w:bdr w:val="single" w:sz="16"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40426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April 26, 2024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bookmarkStart w:id="4" w:name="xdx_908_edei--EntityRegistrantName_c2024"/>
      <w:bookmarkEnd w:id="4"/>
      <w:r>
        <w:rPr>
          <w:rFonts w:ascii="Times New Roman;Times;Serif" w:hAnsi="Times New Roman;Times;Serif"/>
          <w:b/>
          <w:i w:val="false"/>
          <w:caps w:val="false"/>
          <w:smallCaps w:val="false"/>
          <w:sz w:val="24"/>
        </w:rPr>
        <w:t>OptimizeRx Corporation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4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5_edei--EntityFileNumber_c20240426"/>
            <w:bookmarkEnd w:id="6"/>
            <w:r>
              <w:rPr>
                <w:b/>
                <w:sz w:val="20"/>
              </w:rPr>
              <w:t>001-38543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A_edei--EntityTaxIdentificationNum"/>
            <w:bookmarkEnd w:id="7"/>
            <w:r>
              <w:rPr>
                <w:b/>
                <w:sz w:val="20"/>
              </w:rPr>
              <w:t>26-1265381</w:t>
            </w:r>
          </w:p>
        </w:tc>
      </w:tr>
      <w:tr>
        <w:trPr/>
        <w:tc>
          <w:tcPr>
            <w:tcW w:w="2210" w:type="dxa"/>
            <w:tcBorders/>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jc w:val="left"/>
        <w:rPr>
          <w:caps w:val="false"/>
          <w:smallCaps w:val="false"/>
        </w:rPr>
      </w:pPr>
      <w:r>
        <w:rPr>
          <w:caps w:val="false"/>
          <w:smallCaps w:val="false"/>
        </w:rPr>
        <w:t> </w:t>
      </w:r>
    </w:p>
    <w:tbl>
      <w:tblPr>
        <w:tblW w:w="4735" w:type="dxa"/>
        <w:jc w:val="left"/>
        <w:tblInd w:w="0" w:type="dxa"/>
        <w:tblLayout w:type="fixed"/>
        <w:tblCellMar>
          <w:top w:w="0" w:type="dxa"/>
          <w:left w:w="0" w:type="dxa"/>
          <w:bottom w:w="28" w:type="dxa"/>
          <w:right w:w="0" w:type="dxa"/>
        </w:tblCellMar>
      </w:tblPr>
      <w:tblGrid>
        <w:gridCol w:w="3755"/>
        <w:gridCol w:w="60"/>
        <w:gridCol w:w="920"/>
      </w:tblGrid>
      <w:tr>
        <w:trPr/>
        <w:tc>
          <w:tcPr>
            <w:tcW w:w="3755" w:type="dxa"/>
            <w:tcBorders>
              <w:bottom w:val="single" w:sz="12" w:space="0" w:color="000000"/>
            </w:tcBorders>
            <w:vAlign w:val="center"/>
          </w:tcPr>
          <w:p>
            <w:pPr>
              <w:pStyle w:val="TableContents"/>
              <w:bidi w:val="0"/>
              <w:spacing w:before="0" w:after="283"/>
              <w:jc w:val="center"/>
              <w:rPr>
                <w:b/>
                <w:sz w:val="20"/>
              </w:rPr>
            </w:pPr>
            <w:bookmarkStart w:id="8" w:name="xdx_90D_edei--EntityAddressAddressLine1_"/>
            <w:bookmarkEnd w:id="8"/>
            <w:r>
              <w:rPr>
                <w:b/>
                <w:sz w:val="20"/>
              </w:rPr>
              <w:t xml:space="preserve">260 Charles Street, </w:t>
            </w:r>
            <w:bookmarkStart w:id="9" w:name="xdx_906_edei--EntityAddressAddressLine2_"/>
            <w:bookmarkEnd w:id="9"/>
            <w:r>
              <w:rPr>
                <w:b/>
                <w:sz w:val="20"/>
              </w:rPr>
              <w:t xml:space="preserve">Suite 302, </w:t>
            </w:r>
            <w:bookmarkStart w:id="10" w:name="xdx_901_edei--EntityAddressCityOrTown_c2"/>
            <w:bookmarkEnd w:id="10"/>
            <w:r>
              <w:rPr>
                <w:b/>
                <w:sz w:val="20"/>
              </w:rPr>
              <w:t xml:space="preserve">Waltham, </w:t>
            </w:r>
            <w:bookmarkStart w:id="11" w:name="xdx_906_edei--EntityAddressStateOrProvin"/>
            <w:bookmarkEnd w:id="11"/>
            <w:r>
              <w:rPr>
                <w:b/>
                <w:sz w:val="20"/>
              </w:rPr>
              <w:t>MA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2_edei--EntityAddressPostalZipCode"/>
            <w:bookmarkEnd w:id="12"/>
            <w:r>
              <w:rPr>
                <w:b/>
                <w:sz w:val="20"/>
              </w:rPr>
              <w:t>02453</w:t>
            </w:r>
          </w:p>
        </w:tc>
      </w:tr>
      <w:tr>
        <w:trPr/>
        <w:tc>
          <w:tcPr>
            <w:tcW w:w="375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8_edei--CityAreaCode_c20240426__20"/>
      <w:bookmarkEnd w:id="13"/>
      <w:r>
        <w:rPr>
          <w:rFonts w:ascii="Times New Roman;Times;Serif" w:hAnsi="Times New Roman;Times;Serif"/>
          <w:b/>
          <w:i w:val="false"/>
          <w:caps w:val="false"/>
          <w:smallCaps w:val="false"/>
          <w:sz w:val="20"/>
          <w:u w:val="single"/>
        </w:rPr>
        <w:t>248.</w:t>
      </w:r>
      <w:bookmarkStart w:id="14" w:name="xdx_908_edei--LocalPhoneNumber_c20240426"/>
      <w:bookmarkEnd w:id="14"/>
      <w:r>
        <w:rPr>
          <w:rFonts w:ascii="Times New Roman;Times;Serif" w:hAnsi="Times New Roman;Times;Serif"/>
          <w:b/>
          <w:i w:val="false"/>
          <w:caps w:val="false"/>
          <w:smallCaps w:val="false"/>
          <w:sz w:val="20"/>
          <w:u w:val="single"/>
        </w:rPr>
        <w:t>651.6568</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xdx_90C_edei--EntityInformationFormerLeg"/>
      <w:bookmarkEnd w:id="15"/>
      <w:r>
        <w:rPr>
          <w:rFonts w:ascii="Times New Roman;Times;Serif" w:hAnsi="Times New Roman;Times;Serif"/>
          <w:b/>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2_edei--WrittenCommunications_c202"/>
            <w:bookmarkEnd w:id="16"/>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1_edei--SolicitingMaterial_c202404"/>
            <w:bookmarkEnd w:id="17"/>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E_edei--PreCommencementTenderOffer"/>
            <w:bookmarkEnd w:id="18"/>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9" w:name="xdx_90E_edei--PreCommencementIssuerTende"/>
            <w:bookmarkEnd w:id="19"/>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220" w:type="dxa"/>
        <w:jc w:val="left"/>
        <w:tblInd w:w="0" w:type="dxa"/>
        <w:tblLayout w:type="fixed"/>
        <w:tblCellMar>
          <w:top w:w="0" w:type="dxa"/>
          <w:left w:w="0" w:type="dxa"/>
          <w:bottom w:w="28" w:type="dxa"/>
          <w:right w:w="0" w:type="dxa"/>
        </w:tblCellMar>
      </w:tblPr>
      <w:tblGrid>
        <w:gridCol w:w="2780"/>
        <w:gridCol w:w="60"/>
        <w:gridCol w:w="1610"/>
        <w:gridCol w:w="60"/>
        <w:gridCol w:w="3710"/>
      </w:tblGrid>
      <w:tr>
        <w:trPr/>
        <w:tc>
          <w:tcPr>
            <w:tcW w:w="27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sz w:val="20"/>
              </w:rPr>
            </w:pPr>
            <w:bookmarkStart w:id="20" w:name="xdx_907_edei--Security12bTitle_c20240426"/>
            <w:bookmarkEnd w:id="20"/>
            <w:r>
              <w:rPr>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1" w:name="xdx_90B_edei--TradingSymbol_c20240426__2"/>
            <w:bookmarkEnd w:id="21"/>
            <w:r>
              <w:rPr>
                <w:sz w:val="20"/>
              </w:rPr>
              <w:t>OPRX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2" w:name="xdx_909_edei--SecurityExchangeName_c2024"/>
            <w:bookmarkEnd w:id="22"/>
            <w:r>
              <w:rPr>
                <w:sz w:val="20"/>
              </w:rPr>
              <w:t>Nasdaq Capital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2_edei--EntityEmergingGrowthCompan"/>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ind w:left="0" w:right="0" w:firstLine="72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2024, OptimizeRx Corp. (the “Company”) issued a press release setting its first quarter 2024 earnings call and announcing certain preliminary unaudited revenue and adjusted EBITDA results, based upon management estimates, for the period ended March 31, 2024. A copy of the press release is furnished as Exhibit 99.1 to this Current Report on Form 8-K and is hereby incorporated herein by reference.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in the press release furnished as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shall not be incorporated by reference into any filing with the U.S. Securities and Exchange Commission made by the Company, whether made before or after the date hereof, regardless of any general incorporation language in such filing.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left"/>
        <w:rPr>
          <w:caps w:val="false"/>
          <w:smallCaps w:val="false"/>
        </w:rPr>
      </w:pPr>
      <w:r>
        <w:rPr>
          <w:caps w:val="false"/>
          <w:smallCaps w:val="false"/>
        </w:rPr>
        <w:t> </w:t>
      </w:r>
    </w:p>
    <w:tbl>
      <w:tblPr>
        <w:tblW w:w="7285" w:type="dxa"/>
        <w:jc w:val="left"/>
        <w:tblInd w:w="0" w:type="dxa"/>
        <w:tblLayout w:type="fixed"/>
        <w:tblCellMar>
          <w:top w:w="0" w:type="dxa"/>
          <w:left w:w="0" w:type="dxa"/>
          <w:bottom w:w="28" w:type="dxa"/>
          <w:right w:w="0" w:type="dxa"/>
        </w:tblCellMar>
      </w:tblPr>
      <w:tblGrid>
        <w:gridCol w:w="695"/>
        <w:gridCol w:w="60"/>
        <w:gridCol w:w="6530"/>
      </w:tblGrid>
      <w:tr>
        <w:trPr/>
        <w:tc>
          <w:tcPr>
            <w:tcW w:w="695" w:type="dxa"/>
            <w:tcBorders>
              <w:bottom w:val="single" w:sz="12" w:space="0" w:color="000000"/>
            </w:tcBorders>
            <w:vAlign w:val="center"/>
          </w:tcPr>
          <w:p>
            <w:pPr>
              <w:pStyle w:val="TableContents"/>
              <w:bidi w:val="0"/>
              <w:spacing w:before="0" w:after="283"/>
              <w:jc w:val="left"/>
              <w:rPr>
                <w:sz w:val="20"/>
              </w:rPr>
            </w:pPr>
            <w:r>
              <w:rPr>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sz w:val="20"/>
              </w:rPr>
            </w:pPr>
            <w:r>
              <w:rPr>
                <w:sz w:val="20"/>
              </w:rPr>
              <w:t>Description</w:t>
            </w:r>
          </w:p>
        </w:tc>
      </w:tr>
      <w:tr>
        <w:trPr/>
        <w:tc>
          <w:tcPr>
            <w:tcW w:w="6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04901-8kex99i_optimizer.htm">
              <w:r>
                <w:rPr>
                  <w:rStyle w:val="InternetLink"/>
                  <w:sz w:val="20"/>
                </w:rPr>
                <w:t>Press Release, dated April 26, 2024</w:t>
              </w:r>
            </w:hyperlink>
          </w:p>
        </w:tc>
      </w:tr>
      <w:tr>
        <w:trPr/>
        <w:tc>
          <w:tcPr>
            <w:tcW w:w="6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ind w:left="0" w:right="0" w:firstLine="720"/>
        <w:jc w:val="both"/>
        <w:rPr>
          <w:caps w:val="false"/>
          <w:smallCaps w:val="false"/>
        </w:rPr>
      </w:pPr>
      <w:r>
        <w:rPr>
          <w:caps w:val="false"/>
          <w:smallCaps w:val="false"/>
        </w:rPr>
        <w:t> </w:t>
      </w:r>
    </w:p>
    <w:tbl>
      <w:tblPr>
        <w:tblW w:w="4584" w:type="dxa"/>
        <w:jc w:val="left"/>
        <w:tblInd w:w="0" w:type="dxa"/>
        <w:tblLayout w:type="fixed"/>
        <w:tblCellMar>
          <w:top w:w="0" w:type="dxa"/>
          <w:left w:w="0" w:type="dxa"/>
          <w:bottom w:w="0" w:type="dxa"/>
          <w:right w:w="0" w:type="dxa"/>
        </w:tblCellMar>
      </w:tblPr>
      <w:tblGrid>
        <w:gridCol w:w="1775"/>
        <w:gridCol w:w="705"/>
        <w:gridCol w:w="2104"/>
      </w:tblGrid>
      <w:tr>
        <w:trPr/>
        <w:tc>
          <w:tcPr>
            <w:tcW w:w="17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b/>
                <w:sz w:val="20"/>
              </w:rPr>
            </w:pPr>
            <w:r>
              <w:rPr>
                <w:b/>
                <w:sz w:val="20"/>
              </w:rPr>
              <w:t>OPTIMIZERX CORPORATION</w:t>
            </w:r>
          </w:p>
        </w:tc>
      </w:tr>
      <w:tr>
        <w:trPr/>
        <w:tc>
          <w:tcPr>
            <w:tcW w:w="177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sz w:val="20"/>
              </w:rPr>
              <w:t>Date: A</w:t>
            </w:r>
            <w:r>
              <w:rPr/>
              <w:t>pril 29</w:t>
            </w:r>
            <w:r>
              <w:rPr>
                <w:sz w:val="20"/>
              </w:rPr>
              <w:t>, 2024</w:t>
            </w:r>
          </w:p>
        </w:tc>
        <w:tc>
          <w:tcPr>
            <w:tcW w:w="705" w:type="dxa"/>
            <w:tcBorders/>
            <w:vAlign w:val="center"/>
          </w:tcPr>
          <w:p>
            <w:pPr>
              <w:pStyle w:val="TableContents"/>
              <w:bidi w:val="0"/>
              <w:spacing w:before="0" w:after="283"/>
              <w:jc w:val="left"/>
              <w:rPr>
                <w:sz w:val="20"/>
              </w:rPr>
            </w:pPr>
            <w:r>
              <w:rPr>
                <w:sz w:val="20"/>
              </w:rPr>
              <w:t xml:space="preserve">By: </w:t>
            </w:r>
          </w:p>
        </w:tc>
        <w:tc>
          <w:tcPr>
            <w:tcW w:w="210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r>
      <w:tr>
        <w:trPr/>
        <w:tc>
          <w:tcPr>
            <w:tcW w:w="1775" w:type="dxa"/>
            <w:tcBorders/>
            <w:vAlign w:val="center"/>
          </w:tcPr>
          <w:p>
            <w:pPr>
              <w:pStyle w:val="TableContents"/>
              <w:bidi w:val="0"/>
              <w:spacing w:before="0" w:after="283"/>
              <w:jc w:val="both"/>
              <w:rPr/>
            </w:pPr>
            <w:r>
              <w:rPr/>
              <w:t> </w:t>
            </w:r>
          </w:p>
        </w:tc>
        <w:tc>
          <w:tcPr>
            <w:tcW w:w="705" w:type="dxa"/>
            <w:tcBorders/>
            <w:vAlign w:val="center"/>
          </w:tcPr>
          <w:p>
            <w:pPr>
              <w:pStyle w:val="TableContents"/>
              <w:bidi w:val="0"/>
              <w:spacing w:before="0" w:after="283"/>
              <w:jc w:val="both"/>
              <w:rPr>
                <w:sz w:val="20"/>
              </w:rPr>
            </w:pPr>
            <w:r>
              <w:rPr>
                <w:sz w:val="20"/>
              </w:rPr>
              <w:t xml:space="preserve">Name:  </w:t>
            </w:r>
          </w:p>
        </w:tc>
        <w:tc>
          <w:tcPr>
            <w:tcW w:w="2104" w:type="dxa"/>
            <w:tcBorders/>
            <w:vAlign w:val="center"/>
          </w:tcPr>
          <w:p>
            <w:pPr>
              <w:pStyle w:val="TableContents"/>
              <w:bidi w:val="0"/>
              <w:spacing w:before="0" w:after="283"/>
              <w:jc w:val="both"/>
              <w:rPr>
                <w:sz w:val="20"/>
              </w:rPr>
            </w:pPr>
            <w:r>
              <w:rPr>
                <w:sz w:val="20"/>
              </w:rPr>
              <w:t>Edward Stelmakh</w:t>
            </w:r>
          </w:p>
        </w:tc>
      </w:tr>
      <w:tr>
        <w:trPr/>
        <w:tc>
          <w:tcPr>
            <w:tcW w:w="177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sz w:val="20"/>
              </w:rPr>
            </w:pPr>
            <w:r>
              <w:rPr>
                <w:sz w:val="20"/>
              </w:rPr>
              <w:t xml:space="preserve">Title: </w:t>
            </w:r>
          </w:p>
        </w:tc>
        <w:tc>
          <w:tcPr>
            <w:tcW w:w="2104" w:type="dxa"/>
            <w:tcBorders/>
            <w:vAlign w:val="center"/>
          </w:tcPr>
          <w:p>
            <w:pPr>
              <w:pStyle w:val="TableContents"/>
              <w:bidi w:val="0"/>
              <w:spacing w:before="0" w:after="283"/>
              <w:jc w:val="left"/>
              <w:rPr>
                <w:sz w:val="20"/>
              </w:rPr>
            </w:pPr>
            <w:r>
              <w:rPr>
                <w:sz w:val="20"/>
              </w:rPr>
              <w:t>Chief Financial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bookmarkStart w:id="24" w:name="ea0204901-8kex99i_optimizer.htm"/>
      <w:bookmarkStart w:id="25" w:name="ksea02049018kex99i_optimizer"/>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31432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752475"/>
                    </a:xfrm>
                    <a:prstGeom prst="rect">
                      <a:avLst/>
                    </a:prstGeom>
                  </pic:spPr>
                </pic:pic>
              </a:graphicData>
            </a:graphic>
          </wp:inline>
        </w:drawing>
      </w:r>
      <w:r>
        <w:rPr>
          <w:caps w:val="false"/>
          <w:smallCaps w:val="false"/>
        </w:rPr>
        <w:t> </w:t>
      </w:r>
    </w:p>
    <w:p>
      <w:pPr>
        <w:pStyle w:val="TextBody"/>
        <w:bidi w:val="0"/>
        <w:jc w:val="left"/>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OptimizeRx Provides Business Update and Sets First Quarter 2024 Conference Call for May 14, 2024 at 4:30 p.m. ET</w:t>
      </w:r>
    </w:p>
    <w:p>
      <w:pPr>
        <w:pStyle w:val="TextBody"/>
        <w:bidi w:val="0"/>
        <w:jc w:val="center"/>
        <w:rPr>
          <w:caps w:val="false"/>
          <w:smallCaps w:val="false"/>
          <w:color w:val="666666"/>
        </w:rPr>
      </w:pPr>
      <w:r>
        <w:rPr>
          <w:caps w:val="false"/>
          <w:smallCaps w:val="false"/>
          <w:color w:val="666666"/>
        </w:rPr>
        <w:t> </w:t>
      </w:r>
    </w:p>
    <w:p>
      <w:pPr>
        <w:pStyle w:val="TextBody"/>
        <w:bidi w:val="0"/>
        <w:jc w:val="center"/>
        <w:rPr>
          <w:rFonts w:ascii="Times New Roman;Times;Serif" w:hAnsi="Times New Roman;Times;Serif"/>
          <w:b/>
          <w:i w:val="false"/>
          <w:caps w:val="false"/>
          <w:smallCaps w:val="false"/>
          <w:color w:val="666666"/>
          <w:sz w:val="22"/>
          <w:shd w:fill="FCFCFC" w:val="clear"/>
        </w:rPr>
      </w:pPr>
      <w:r>
        <w:rPr>
          <w:rFonts w:ascii="Times New Roman;Times;Serif" w:hAnsi="Times New Roman;Times;Serif"/>
          <w:b/>
          <w:i w:val="false"/>
          <w:caps w:val="false"/>
          <w:smallCaps w:val="false"/>
          <w:color w:val="666666"/>
          <w:sz w:val="22"/>
          <w:shd w:fill="FCFCFC" w:val="clear"/>
        </w:rPr>
        <w:t>1Q24 revenue expected to grow over 40% year-over-year and come in between </w:t>
      </w:r>
    </w:p>
    <w:p>
      <w:pPr>
        <w:pStyle w:val="TextBody"/>
        <w:bidi w:val="0"/>
        <w:jc w:val="center"/>
        <w:rPr>
          <w:rFonts w:ascii="Times New Roman;Times;Serif" w:hAnsi="Times New Roman;Times;Serif"/>
          <w:b/>
          <w:i w:val="false"/>
          <w:caps w:val="false"/>
          <w:smallCaps w:val="false"/>
          <w:color w:val="666666"/>
          <w:sz w:val="22"/>
          <w:shd w:fill="FCFCFC" w:val="clear"/>
        </w:rPr>
      </w:pPr>
      <w:r>
        <w:rPr>
          <w:rFonts w:ascii="Times New Roman;Times;Serif" w:hAnsi="Times New Roman;Times;Serif"/>
          <w:b/>
          <w:i w:val="false"/>
          <w:caps w:val="false"/>
          <w:smallCaps w:val="false"/>
          <w:color w:val="666666"/>
          <w:sz w:val="22"/>
          <w:shd w:fill="FCFCFC" w:val="clear"/>
        </w:rPr>
        <w:t>$18.5 - $19.2 million</w:t>
      </w:r>
    </w:p>
    <w:p>
      <w:pPr>
        <w:pStyle w:val="TextBody"/>
        <w:bidi w:val="0"/>
        <w:jc w:val="center"/>
        <w:rPr>
          <w:caps w:val="false"/>
          <w:smallCaps w:val="false"/>
          <w:color w:val="666666"/>
        </w:rPr>
      </w:pPr>
      <w:r>
        <w:rPr>
          <w:caps w:val="false"/>
          <w:smallCaps w:val="false"/>
          <w:color w:val="666666"/>
        </w:rPr>
        <w:t> </w:t>
      </w:r>
    </w:p>
    <w:p>
      <w:pPr>
        <w:pStyle w:val="TextBody"/>
        <w:bidi w:val="0"/>
        <w:jc w:val="center"/>
        <w:rPr>
          <w:rFonts w:ascii="Times New Roman;Times;Serif" w:hAnsi="Times New Roman;Times;Serif"/>
          <w:b/>
          <w:i w:val="false"/>
          <w:caps w:val="false"/>
          <w:smallCaps w:val="false"/>
          <w:color w:val="666666"/>
          <w:sz w:val="22"/>
          <w:shd w:fill="FCFCFC" w:val="clear"/>
        </w:rPr>
      </w:pPr>
      <w:r>
        <w:rPr>
          <w:rFonts w:ascii="Times New Roman;Times;Serif" w:hAnsi="Times New Roman;Times;Serif"/>
          <w:b/>
          <w:i w:val="false"/>
          <w:caps w:val="false"/>
          <w:smallCaps w:val="false"/>
          <w:color w:val="666666"/>
          <w:sz w:val="22"/>
          <w:shd w:fill="FCFCFC" w:val="clear"/>
        </w:rPr>
        <w:t xml:space="preserve">First quarter revenue and adjusted EBITDA to come in ahead of consensus </w:t>
      </w:r>
    </w:p>
    <w:p>
      <w:pPr>
        <w:pStyle w:val="TextBody"/>
        <w:bidi w:val="0"/>
        <w:jc w:val="center"/>
        <w:rPr>
          <w:caps w:val="false"/>
          <w:smallCaps w:val="false"/>
          <w:color w:val="666666"/>
        </w:rPr>
      </w:pPr>
      <w:r>
        <w:rPr>
          <w:caps w:val="false"/>
          <w:smallCaps w:val="false"/>
          <w:color w:val="666666"/>
        </w:rPr>
        <w:t> </w:t>
      </w:r>
    </w:p>
    <w:p>
      <w:pPr>
        <w:pStyle w:val="TextBody"/>
        <w:bidi w:val="0"/>
        <w:jc w:val="center"/>
        <w:rPr>
          <w:rFonts w:ascii="Times New Roman;Times;Serif" w:hAnsi="Times New Roman;Times;Serif"/>
          <w:b/>
          <w:i w:val="false"/>
          <w:caps w:val="false"/>
          <w:smallCaps w:val="false"/>
          <w:color w:val="666666"/>
          <w:sz w:val="22"/>
          <w:shd w:fill="FCFCFC" w:val="clear"/>
        </w:rPr>
      </w:pPr>
      <w:r>
        <w:rPr>
          <w:rFonts w:ascii="Times New Roman;Times;Serif" w:hAnsi="Times New Roman;Times;Serif"/>
          <w:b/>
          <w:i w:val="false"/>
          <w:caps w:val="false"/>
          <w:smallCaps w:val="false"/>
          <w:color w:val="666666"/>
          <w:sz w:val="22"/>
          <w:shd w:fill="FCFCFC" w:val="clear"/>
        </w:rPr>
        <w:t>DAAP adoption and cross selling activities are tracking ahead of internal expectations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WALTHAM, Mass. – April 26, 2024</w:t>
      </w:r>
      <w:r>
        <w:rPr>
          <w:rFonts w:ascii="Times New Roman;Times;Serif" w:hAnsi="Times New Roman;Times;Serif"/>
          <w:b w:val="false"/>
          <w:i w:val="false"/>
          <w:caps w:val="false"/>
          <w:smallCaps w:val="false"/>
          <w:sz w:val="20"/>
        </w:rPr>
        <w:t xml:space="preserve"> – OptimizeRx Corp. (the “Company”) (Nasdaq: OPRX), the leading provider of healthcare technology solutions helping life sciences companies reach and engage healthcare professional (HCPs) and patients, </w:t>
      </w:r>
      <w:r>
        <w:rPr>
          <w:rFonts w:ascii="Times New Roman;Times;Serif" w:hAnsi="Times New Roman;Times;Serif"/>
          <w:b w:val="false"/>
          <w:i w:val="false"/>
          <w:caps w:val="false"/>
          <w:smallCaps w:val="false"/>
          <w:sz w:val="20"/>
          <w:shd w:fill="FCFCFC" w:val="clear"/>
        </w:rPr>
        <w:t>is providing a business update for 2024 and</w:t>
      </w:r>
      <w:r>
        <w:rPr>
          <w:rFonts w:ascii="Times New Roman;Times;Serif" w:hAnsi="Times New Roman;Times;Serif"/>
          <w:b w:val="false"/>
          <w:i w:val="false"/>
          <w:caps w:val="false"/>
          <w:smallCaps w:val="false"/>
          <w:sz w:val="20"/>
        </w:rPr>
        <w:t xml:space="preserve"> is preannouncing preliminary, unaudited results for select financials for the first quarter of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quarter, the Company expects revenue to increase over 40% year-over-year and come in between $18.5 million and $19.2 million with a GAAP net loss and Adjusted EBITDA loss between $(8.2) - $(7.0) million and $(1.0) - $(0.7) million, respectively (see definition of this non-GAAP measure and reconciliation to GAAP, below). The year-over-year revenue increase was primarily driven by strong organic growth due to our Dynamic Audience Activation Platform (DAAP) as well as from our October 2023 acquisition of Medicx Health.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Silvestro, OptimizeRx President commented, “The momentum from the fourth quarter has carried into the first quarter of 2024 with the signing of 9 new DAAP deals. Current industry trends favor our approach with pharma looking to partner with scalable platforms that have agile precision-marketing capabilities which at its core is what our AI enabled platform delivers.”</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commercial integration strategy between OptimizeRx and Medicx is also progressing ahead of our expectations, with numerous new cross-sell opportunities in late-stage negotiations. The integration of the two businesses is ahead of schedule and we are optimistic about our performance. With the addition of Medicx, we stand out as the only scalable platform with both HCP and direct-to-consumer reach. This unique positioning enhances our ability to cross-sell and upsell, unlocking significant value. We estimate the potential opportunity with existing brands alone to be nearly $2.8 billion, with even greater potential for brands we don’t yet support. This favorable environment strengthens our confidence in meeting or exceeding our financial targets.”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Call</w:t>
      </w:r>
    </w:p>
    <w:p>
      <w:pPr>
        <w:pStyle w:val="TextBody"/>
        <w:bidi w:val="0"/>
        <w:jc w:val="left"/>
        <w:rPr>
          <w:caps w:val="false"/>
          <w:smallCaps w:val="false"/>
        </w:rPr>
      </w:pPr>
      <w:r>
        <w:rPr>
          <w:caps w:val="false"/>
          <w:smallCaps w:val="false"/>
        </w:rPr>
        <w:t> </w:t>
      </w:r>
    </w:p>
    <w:p>
      <w:pPr>
        <w:pStyle w:val="TextBody"/>
        <w:shd w:fill="FCFCFC"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will hold a conference call on Tuesday, May 14, 2024 at 4:30 p.m. Eastern Time to discuss its results for the first quarter for the period ended March 31, 2024. The financial results will be issued in a press release prior to the call.</w:t>
      </w:r>
    </w:p>
    <w:p>
      <w:pPr>
        <w:pStyle w:val="TextBody"/>
        <w:shd w:fill="FCFCFC" w:val="clear"/>
        <w:bidi w:val="0"/>
        <w:jc w:val="left"/>
        <w:rPr>
          <w:caps w:val="false"/>
          <w:smallCaps w:val="false"/>
        </w:rPr>
      </w:pPr>
      <w:r>
        <w:rPr>
          <w:caps w:val="false"/>
          <w:smallCaps w:val="false"/>
        </w:rPr>
        <w:t> </w:t>
      </w:r>
    </w:p>
    <w:p>
      <w:pPr>
        <w:pStyle w:val="TextBody"/>
        <w:shd w:fill="FCFCFC"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management will host the call, followed by a question-and-answer period. Details for the conference call can be found below:</w:t>
      </w:r>
    </w:p>
    <w:p>
      <w:pPr>
        <w:pStyle w:val="TextBody"/>
        <w:shd w:fill="FCFCFC" w:val="clear"/>
        <w:bidi w:val="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610"/>
        <w:gridCol w:w="6395"/>
      </w:tblGrid>
      <w:tr>
        <w:trPr/>
        <w:tc>
          <w:tcPr>
            <w:tcW w:w="1610" w:type="dxa"/>
            <w:tcBorders/>
            <w:vAlign w:val="center"/>
          </w:tcPr>
          <w:p>
            <w:pPr>
              <w:pStyle w:val="TableContents"/>
              <w:bidi w:val="0"/>
              <w:spacing w:before="0" w:after="283"/>
              <w:jc w:val="left"/>
              <w:rPr>
                <w:b/>
              </w:rPr>
            </w:pPr>
            <w:r>
              <w:rPr>
                <w:b/>
              </w:rPr>
              <w:t>Date:</w:t>
            </w:r>
          </w:p>
        </w:tc>
        <w:tc>
          <w:tcPr>
            <w:tcW w:w="6395" w:type="dxa"/>
            <w:tcBorders/>
            <w:vAlign w:val="center"/>
          </w:tcPr>
          <w:p>
            <w:pPr>
              <w:pStyle w:val="TableContents"/>
              <w:bidi w:val="0"/>
              <w:spacing w:before="0" w:after="283"/>
              <w:jc w:val="left"/>
              <w:rPr>
                <w:shd w:fill="FCFCFC" w:val="clear"/>
              </w:rPr>
            </w:pPr>
            <w:r>
              <w:rPr>
                <w:shd w:fill="FCFCFC" w:val="clear"/>
              </w:rPr>
              <w:t>Tuesday, May 14, 2024</w:t>
            </w:r>
          </w:p>
        </w:tc>
      </w:tr>
      <w:tr>
        <w:trPr/>
        <w:tc>
          <w:tcPr>
            <w:tcW w:w="1610" w:type="dxa"/>
            <w:tcBorders/>
            <w:vAlign w:val="center"/>
          </w:tcPr>
          <w:p>
            <w:pPr>
              <w:pStyle w:val="TableContents"/>
              <w:bidi w:val="0"/>
              <w:spacing w:before="0" w:after="283"/>
              <w:jc w:val="left"/>
              <w:rPr>
                <w:b/>
              </w:rPr>
            </w:pPr>
            <w:r>
              <w:rPr>
                <w:b/>
              </w:rPr>
              <w:t>Time:</w:t>
            </w:r>
          </w:p>
        </w:tc>
        <w:tc>
          <w:tcPr>
            <w:tcW w:w="6395" w:type="dxa"/>
            <w:tcBorders/>
            <w:vAlign w:val="center"/>
          </w:tcPr>
          <w:p>
            <w:pPr>
              <w:pStyle w:val="TableContents"/>
              <w:bidi w:val="0"/>
              <w:spacing w:before="0" w:after="283"/>
              <w:jc w:val="left"/>
              <w:rPr/>
            </w:pPr>
            <w:r>
              <w:rPr/>
              <w:t>4:30 p.m. Eastern Time (1:30 p.m. Pacific Time)</w:t>
            </w:r>
          </w:p>
        </w:tc>
      </w:tr>
      <w:tr>
        <w:trPr/>
        <w:tc>
          <w:tcPr>
            <w:tcW w:w="1610" w:type="dxa"/>
            <w:tcBorders/>
            <w:vAlign w:val="center"/>
          </w:tcPr>
          <w:p>
            <w:pPr>
              <w:pStyle w:val="TableContents"/>
              <w:bidi w:val="0"/>
              <w:spacing w:before="0" w:after="283"/>
              <w:jc w:val="left"/>
              <w:rPr>
                <w:b/>
              </w:rPr>
            </w:pPr>
            <w:r>
              <w:rPr>
                <w:b/>
              </w:rPr>
              <w:t>Toll Free:</w:t>
            </w:r>
          </w:p>
        </w:tc>
        <w:tc>
          <w:tcPr>
            <w:tcW w:w="6395" w:type="dxa"/>
            <w:tcBorders/>
            <w:vAlign w:val="center"/>
          </w:tcPr>
          <w:p>
            <w:pPr>
              <w:pStyle w:val="TableContents"/>
              <w:bidi w:val="0"/>
              <w:spacing w:before="0" w:after="283"/>
              <w:jc w:val="left"/>
              <w:rPr>
                <w:sz w:val="20"/>
              </w:rPr>
            </w:pPr>
            <w:r>
              <w:rPr>
                <w:sz w:val="20"/>
              </w:rPr>
              <w:t>1-877-423-9813</w:t>
            </w:r>
          </w:p>
        </w:tc>
      </w:tr>
      <w:tr>
        <w:trPr/>
        <w:tc>
          <w:tcPr>
            <w:tcW w:w="1610" w:type="dxa"/>
            <w:tcBorders/>
            <w:vAlign w:val="center"/>
          </w:tcPr>
          <w:p>
            <w:pPr>
              <w:pStyle w:val="TableContents"/>
              <w:bidi w:val="0"/>
              <w:spacing w:before="0" w:after="283"/>
              <w:jc w:val="left"/>
              <w:rPr>
                <w:b/>
              </w:rPr>
            </w:pPr>
            <w:r>
              <w:rPr>
                <w:b/>
              </w:rPr>
              <w:t>International:</w:t>
            </w:r>
          </w:p>
        </w:tc>
        <w:tc>
          <w:tcPr>
            <w:tcW w:w="6395" w:type="dxa"/>
            <w:tcBorders/>
            <w:vAlign w:val="center"/>
          </w:tcPr>
          <w:p>
            <w:pPr>
              <w:pStyle w:val="TableContents"/>
              <w:bidi w:val="0"/>
              <w:spacing w:before="0" w:after="283"/>
              <w:jc w:val="left"/>
              <w:rPr>
                <w:sz w:val="20"/>
              </w:rPr>
            </w:pPr>
            <w:r>
              <w:rPr>
                <w:sz w:val="20"/>
              </w:rPr>
              <w:t>1-201-689-8573</w:t>
            </w:r>
          </w:p>
        </w:tc>
      </w:tr>
      <w:tr>
        <w:trPr/>
        <w:tc>
          <w:tcPr>
            <w:tcW w:w="1610" w:type="dxa"/>
            <w:tcBorders/>
            <w:vAlign w:val="center"/>
          </w:tcPr>
          <w:p>
            <w:pPr>
              <w:pStyle w:val="TableContents"/>
              <w:bidi w:val="0"/>
              <w:spacing w:before="0" w:after="283"/>
              <w:jc w:val="left"/>
              <w:rPr>
                <w:b/>
              </w:rPr>
            </w:pPr>
            <w:r>
              <w:rPr>
                <w:b/>
              </w:rPr>
              <w:t>Conference ID:</w:t>
            </w:r>
          </w:p>
        </w:tc>
        <w:tc>
          <w:tcPr>
            <w:tcW w:w="6395" w:type="dxa"/>
            <w:tcBorders/>
            <w:vAlign w:val="center"/>
          </w:tcPr>
          <w:p>
            <w:pPr>
              <w:pStyle w:val="TableContents"/>
              <w:bidi w:val="0"/>
              <w:spacing w:before="0" w:after="283"/>
              <w:jc w:val="left"/>
              <w:rPr>
                <w:sz w:val="20"/>
              </w:rPr>
            </w:pPr>
            <w:r>
              <w:rPr>
                <w:sz w:val="20"/>
              </w:rPr>
              <w:t>13746273</w:t>
            </w:r>
          </w:p>
        </w:tc>
      </w:tr>
      <w:tr>
        <w:trPr/>
        <w:tc>
          <w:tcPr>
            <w:tcW w:w="1610" w:type="dxa"/>
            <w:tcBorders/>
            <w:vAlign w:val="center"/>
          </w:tcPr>
          <w:p>
            <w:pPr>
              <w:pStyle w:val="TableContents"/>
              <w:bidi w:val="0"/>
              <w:spacing w:before="0" w:after="283"/>
              <w:jc w:val="left"/>
              <w:rPr>
                <w:b/>
              </w:rPr>
            </w:pPr>
            <w:r>
              <w:rPr>
                <w:b/>
              </w:rPr>
              <w:t>Webcast:</w:t>
            </w:r>
          </w:p>
        </w:tc>
        <w:tc>
          <w:tcPr>
            <w:tcW w:w="6395" w:type="dxa"/>
            <w:tcBorders/>
            <w:vAlign w:val="center"/>
          </w:tcPr>
          <w:p>
            <w:pPr>
              <w:pStyle w:val="TableContents"/>
              <w:bidi w:val="0"/>
              <w:spacing w:before="0" w:after="283"/>
              <w:jc w:val="left"/>
              <w:rPr/>
            </w:pPr>
            <w:r>
              <w:rPr>
                <w:rFonts w:ascii="Times New Roman;Times;Serif" w:hAnsi="Times New Roman;Times;Serif"/>
                <w:sz w:val="20"/>
              </w:rPr>
              <w:t>https://viavid.webcasts.com/starthere.jsp?ei=1668162&amp;tp_key=64b094d8c1</w:t>
            </w:r>
            <w:r>
              <w:rPr/>
              <w:t>  </w:t>
            </w:r>
          </w:p>
        </w:tc>
      </w:tr>
    </w:tbl>
    <w:p>
      <w:pPr>
        <w:pStyle w:val="TextBody"/>
        <w:shd w:fill="FCFCFC" w:val="clear"/>
        <w:bidi w:val="0"/>
        <w:jc w:val="left"/>
        <w:rPr>
          <w:caps w:val="false"/>
          <w:smallCaps w:val="false"/>
        </w:rPr>
      </w:pPr>
      <w:r>
        <w:rPr>
          <w:caps w:val="false"/>
          <w:smallCaps w:val="false"/>
        </w:rPr>
        <w:t> </w:t>
      </w:r>
    </w:p>
    <w:p>
      <w:pPr>
        <w:pStyle w:val="TextBody"/>
        <w:shd w:fill="FCFCFC"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call the conference telephone number or log on to the web access link five minutes prior to the start time.</w:t>
      </w:r>
    </w:p>
    <w:p>
      <w:pPr>
        <w:pStyle w:val="TextBody"/>
        <w:shd w:fill="FCFCFC" w:val="clear"/>
        <w:bidi w:val="0"/>
        <w:jc w:val="left"/>
        <w:rPr>
          <w:caps w:val="false"/>
          <w:smallCaps w:val="false"/>
        </w:rPr>
      </w:pPr>
      <w:r>
        <w:rPr>
          <w:caps w:val="false"/>
          <w:smallCaps w:val="false"/>
        </w:rPr>
        <w:t> </w:t>
      </w:r>
    </w:p>
    <w:p>
      <w:pPr>
        <w:pStyle w:val="TextBody"/>
        <w:shd w:fill="FCFCFC"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remain available for 12 months via the Investors section of the OptimizeRx website at http://www.optimizerx.com/investors.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OptimizeRx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provides best-in-class health technology that enables care-focused engagement between life sciences organizations, healthcare providers, and patients at critical junctures throughout the patient care journey. Connecting over 2 million U.S. healthcare providers and millions of their patients through an intelligent technology platform embedded within a proprietary digital point-of-care network, as well as mass digital communication channels, OptimizeRx helps life sciences organizations engage and support their customers.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follow the Company on X, LinkedIn or visit www.optimizerx.com.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and Unaudited Financial Results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and unaudited financial results are subject to completion of the Company’s financial quarterly closing procedures. The Company’s independent registered public accounting firm has not conducted an audit or review of, and does not express an opinion or any other form of assurance with respect to, the preliminary and unaudited revenue results. It is possible that the Company or its independent registered public accounting firm may identify items that require the Company to make adjustments to the preliminary estimates of revenue and/or Adjusted EBITDA set forth in this press release.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Use of Non-GAAP Financial Measures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a presentation of Adjusted EBITDA which is a non-GAAP financial measure.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GAAP net income (loss) with an adjustment to add back depreciation, amortization, interest, stock-based compensation, acquisition expenses, severance expense, income or loss related to the fair value of contingent consideration, gain or loss from the disposal of a business, asset impairment charges, other income (loss), and income taxes. The Company has provided this non-GAAP financial measure to aid investors in better understanding its performance. Management believes that this non-GAAP financial measure provide additional insight into the operations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varying available valuation methodologies, subjective assumptions and the variety of equity instruments that can impact a Company’s non-cash operating expenses, management believes that providing this non-GAAP financial measure that exclude non-cash expenses allows for meaningful comparisons between the Company’s business operating results and those of other companies, as well as provides an important tool for financial and operational decision making and for evaluating the Company’s business operating results over different periods of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Adjusted EBITDA measure may not provide information that is directly comparable to that provided by other companies in the Company’s industry, as other companies in the industry may calculate Adjusted EBITDA differently. The Company’s Adjusted EBITDA is not a measurement of financial performance under GAAP and should not be considered an alternative to operating income or as an indication of operating performance or any other measure of performance derived in accordance with GAAP. The Company does not consider this non-GAAP measure to be a substitute for or superior to the information provided by its GAAP financial results.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Cautions Regarding Forward Looking Statements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preliminary and unaudited financial results.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possibility of management identifying items that would require adjustments to the preliminary unaudited revenue and Adjusted EBITDA results described in this press release, and other risks summarized in the Company’s Annual Report on Form 10-K for the fiscal year ended December 31, 2023, its subsequent Quarterly Reports on Form 10-Q, and its other filings with the Securities and Exchange Commission.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FINANCIAL MEASURES</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hd w:fill="FFFFFF" w:val="clear"/>
        <w:bidi w:val="0"/>
        <w:jc w:val="center"/>
        <w:rPr>
          <w:caps w:val="false"/>
          <w:smallCaps w:val="false"/>
        </w:rPr>
      </w:pPr>
      <w:r>
        <w:rPr>
          <w:caps w:val="false"/>
          <w:smallCaps w:val="false"/>
        </w:rPr>
        <w:t> </w:t>
      </w:r>
    </w:p>
    <w:tbl>
      <w:tblPr>
        <w:tblW w:w="4360" w:type="dxa"/>
        <w:jc w:val="left"/>
        <w:tblInd w:w="0" w:type="dxa"/>
        <w:shd w:fill="FFFFFF" w:val="clear"/>
        <w:tblLayout w:type="fixed"/>
        <w:tblCellMar>
          <w:top w:w="0" w:type="dxa"/>
          <w:left w:w="0" w:type="dxa"/>
          <w:bottom w:w="0" w:type="dxa"/>
          <w:right w:w="0" w:type="dxa"/>
        </w:tblCellMar>
      </w:tblPr>
      <w:tblGrid>
        <w:gridCol w:w="2510"/>
        <w:gridCol w:w="1850"/>
      </w:tblGrid>
      <w:tr>
        <w:trPr/>
        <w:tc>
          <w:tcPr>
            <w:tcW w:w="2510"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in millions</w:t>
            </w:r>
          </w:p>
        </w:tc>
        <w:tc>
          <w:tcPr>
            <w:tcW w:w="1850" w:type="dxa"/>
            <w:tcBorders>
              <w:bottom w:val="single" w:sz="12" w:space="0" w:color="000000"/>
            </w:tcBorders>
            <w:shd w:fill="FFFFFF" w:val="clear"/>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Three Months Ended </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2024</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18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 – $(7.0)</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18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 $1.5</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18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 $0.5</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18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 – $1.0</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18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 – $2.7</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Severance charges</w:t>
            </w:r>
          </w:p>
        </w:tc>
        <w:tc>
          <w:tcPr>
            <w:tcW w:w="18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 – $0.4</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Acquisition expense</w:t>
            </w:r>
          </w:p>
        </w:tc>
        <w:tc>
          <w:tcPr>
            <w:tcW w:w="1850" w:type="dxa"/>
            <w:tcBorders>
              <w:bottom w:val="single" w:sz="8" w:space="0" w:color="000000"/>
            </w:tcBorders>
            <w:shd w:fill="CCEE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 – $0.2</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Adjusted EBITDA</w:t>
            </w:r>
          </w:p>
        </w:tc>
        <w:tc>
          <w:tcPr>
            <w:tcW w:w="1850" w:type="dxa"/>
            <w:tcBorders>
              <w:bottom w:val="double" w:sz="4"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 – $(0.7)</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OptimizeRx Contact</w:t>
      </w:r>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D’Silva, SVP Corporate Finance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adsilva@optimizerx.com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 Contact</w:t>
      </w:r>
      <w:r>
        <w:rPr>
          <w:rFonts w:ascii="Times New Roman;Times;Serif" w:hAnsi="Times New Roman;Times;Serif"/>
          <w:b w:val="false"/>
          <w:i w:val="false"/>
          <w:caps w:val="false"/>
          <w:smallCaps w:val="false"/>
          <w:color w:val="666666"/>
          <w:sz w:val="20"/>
          <w:shd w:fill="FCFCFC" w:val="clear"/>
        </w:rPr>
        <w:t> </w:t>
      </w:r>
      <w:r>
        <w:rPr>
          <w:rFonts w:ascii="Times New Roman;Times;Serif" w:hAnsi="Times New Roman;Times;Serif"/>
          <w:b w:val="false"/>
          <w:i w:val="false"/>
          <w:caps w:val="false"/>
          <w:smallCaps w:val="false"/>
          <w:color w:val="666666"/>
          <w:sz w:val="20"/>
        </w:rPr>
        <w:br/>
      </w:r>
      <w:r>
        <w:rPr>
          <w:rFonts w:ascii="Times New Roman;Times;Serif" w:hAnsi="Times New Roman;Times;Serif"/>
          <w:b w:val="false"/>
          <w:i w:val="false"/>
          <w:caps w:val="false"/>
          <w:smallCaps w:val="false"/>
          <w:sz w:val="20"/>
        </w:rPr>
        <w:t>Dilma Bennett, Media Relations Manager</w:t>
      </w:r>
      <w:r>
        <w:rPr>
          <w:rFonts w:ascii="Times New Roman;Times;Serif" w:hAnsi="Times New Roman;Times;Serif"/>
          <w:b w:val="false"/>
          <w:i w:val="false"/>
          <w:caps w:val="false"/>
          <w:smallCaps w:val="false"/>
          <w:color w:val="666666"/>
          <w:sz w:val="20"/>
        </w:rPr>
        <w:br/>
      </w:r>
      <w:r>
        <w:rPr>
          <w:rFonts w:ascii="Times New Roman;Times;Serif" w:hAnsi="Times New Roman;Times;Serif"/>
          <w:b w:val="false"/>
          <w:i w:val="false"/>
          <w:caps w:val="false"/>
          <w:smallCaps w:val="false"/>
          <w:sz w:val="20"/>
        </w:rPr>
        <w:t>dbennett@optimizerx.com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Ashley Robinson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arr@lifesciadvisors.com</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1847</Words>
  <Characters>10914</Characters>
  <CharactersWithSpaces>12764</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