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699135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724535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10"/>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CURRENT REPORT</w:t>
            </w:r>
          </w:p>
        </w:tc>
        <w:tc>
          <w:tcPr>
            <w:tcW w:w="2840" w:type="dxa"/>
            <w:vAlign w:val="bottom"/>
          </w:tcPr>
          <w:p>
            <w:pPr>
              <w:spacing w:after="0"/>
              <w:rPr>
                <w:sz w:val="20"/>
                <w:szCs w:val="20"/>
                <w:color w:val="auto"/>
              </w:rPr>
            </w:pPr>
          </w:p>
        </w:tc>
      </w:tr>
      <w:tr>
        <w:trPr>
          <w:trHeight w:val="36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Pursuant to Section 13 or 15(d) of</w:t>
            </w:r>
          </w:p>
        </w:tc>
        <w:tc>
          <w:tcPr>
            <w:tcW w:w="2840" w:type="dxa"/>
            <w:vAlign w:val="bottom"/>
          </w:tcPr>
          <w:p>
            <w:pPr>
              <w:spacing w:after="0"/>
              <w:rPr>
                <w:sz w:val="24"/>
                <w:szCs w:val="24"/>
                <w:color w:val="auto"/>
              </w:rPr>
            </w:pPr>
          </w:p>
        </w:tc>
      </w:tr>
      <w:tr>
        <w:trPr>
          <w:trHeight w:val="236"/>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2840" w:type="dxa"/>
            <w:vAlign w:val="bottom"/>
          </w:tcPr>
          <w:p>
            <w:pPr>
              <w:spacing w:after="0"/>
              <w:rPr>
                <w:sz w:val="20"/>
                <w:szCs w:val="20"/>
                <w:color w:val="auto"/>
              </w:rPr>
            </w:pPr>
          </w:p>
        </w:tc>
      </w:tr>
      <w:tr>
        <w:trPr>
          <w:trHeight w:val="387"/>
        </w:trPr>
        <w:tc>
          <w:tcPr>
            <w:tcW w:w="3000" w:type="dxa"/>
            <w:vAlign w:val="bottom"/>
          </w:tcPr>
          <w:p>
            <w:pPr>
              <w:spacing w:after="0"/>
              <w:rPr>
                <w:sz w:val="24"/>
                <w:szCs w:val="24"/>
                <w:color w:val="auto"/>
              </w:rPr>
            </w:pPr>
          </w:p>
        </w:tc>
        <w:tc>
          <w:tcPr>
            <w:tcW w:w="538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Report (Date of Earliest Event Reported): </w:t>
            </w:r>
            <w:r>
              <w:rPr>
                <w:rFonts w:ascii="Times New Roman" w:cs="Times New Roman" w:eastAsia="Times New Roman" w:hAnsi="Times New Roman"/>
                <w:sz w:val="18"/>
                <w:szCs w:val="18"/>
                <w:color w:val="auto"/>
                <w:w w:val="98"/>
              </w:rPr>
              <w:t>May 12, 2025</w:t>
            </w:r>
          </w:p>
        </w:tc>
        <w:tc>
          <w:tcPr>
            <w:tcW w:w="2840" w:type="dxa"/>
            <w:vAlign w:val="bottom"/>
          </w:tcPr>
          <w:p>
            <w:pPr>
              <w:spacing w:after="0"/>
              <w:rPr>
                <w:sz w:val="24"/>
                <w:szCs w:val="24"/>
                <w:color w:val="auto"/>
              </w:rPr>
            </w:pPr>
          </w:p>
        </w:tc>
      </w:tr>
      <w:tr>
        <w:trPr>
          <w:trHeight w:val="381"/>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OptimizeRx Corporation</w:t>
            </w:r>
          </w:p>
        </w:tc>
        <w:tc>
          <w:tcPr>
            <w:tcW w:w="2840" w:type="dxa"/>
            <w:vAlign w:val="bottom"/>
          </w:tcPr>
          <w:p>
            <w:pPr>
              <w:spacing w:after="0"/>
              <w:rPr>
                <w:sz w:val="24"/>
                <w:szCs w:val="24"/>
                <w:color w:val="auto"/>
              </w:rPr>
            </w:pPr>
          </w:p>
        </w:tc>
      </w:tr>
      <w:tr>
        <w:trPr>
          <w:trHeight w:val="232"/>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10"/>
          </w:tcPr>
          <w:p>
            <w:pPr>
              <w:jc w:val="center"/>
              <w:ind w:right="900"/>
              <w:spacing w:after="0"/>
              <w:rPr>
                <w:sz w:val="20"/>
                <w:szCs w:val="20"/>
                <w:color w:val="auto"/>
              </w:rPr>
            </w:pPr>
            <w:r>
              <w:rPr>
                <w:rFonts w:ascii="Times New Roman" w:cs="Times New Roman" w:eastAsia="Times New Roman" w:hAnsi="Times New Roman"/>
                <w:sz w:val="18"/>
                <w:szCs w:val="18"/>
                <w:color w:val="auto"/>
                <w:w w:val="98"/>
              </w:rPr>
              <w:t>(Exact name of registrant as specified in charter)</w:t>
            </w:r>
          </w:p>
        </w:tc>
        <w:tc>
          <w:tcPr>
            <w:tcW w:w="2840" w:type="dxa"/>
            <w:vAlign w:val="bottom"/>
          </w:tcPr>
          <w:p>
            <w:pPr>
              <w:spacing w:after="0"/>
              <w:rPr>
                <w:sz w:val="20"/>
                <w:szCs w:val="20"/>
                <w:color w:val="auto"/>
              </w:rPr>
            </w:pPr>
          </w:p>
        </w:tc>
      </w:tr>
      <w:tr>
        <w:trPr>
          <w:trHeight w:val="440"/>
        </w:trPr>
        <w:tc>
          <w:tcPr>
            <w:tcW w:w="3000" w:type="dxa"/>
            <w:vAlign w:val="bottom"/>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2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001-38543</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26"/>
        </w:trPr>
        <w:tc>
          <w:tcPr>
            <w:tcW w:w="3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15"/>
        </w:trPr>
        <w:tc>
          <w:tcPr>
            <w:tcW w:w="300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10"/>
          </w:tcPr>
          <w:p>
            <w:pPr>
              <w:jc w:val="center"/>
              <w:ind w:right="960"/>
              <w:spacing w:after="0"/>
              <w:rPr>
                <w:sz w:val="20"/>
                <w:szCs w:val="20"/>
                <w:color w:val="auto"/>
              </w:rPr>
            </w:pPr>
            <w:r>
              <w:rPr>
                <w:rFonts w:ascii="Times New Roman" w:cs="Times New Roman" w:eastAsia="Times New Roman" w:hAnsi="Times New Roman"/>
                <w:sz w:val="18"/>
                <w:szCs w:val="18"/>
                <w:color w:val="auto"/>
                <w:w w:val="98"/>
              </w:rPr>
              <w:t>(Commission File Number)</w:t>
            </w:r>
          </w:p>
        </w:tc>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2"/>
        </w:trPr>
        <w:tc>
          <w:tcPr>
            <w:tcW w:w="300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0"/>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260 Charles Street</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Suite 302</w:t>
            </w:r>
          </w:p>
        </w:tc>
        <w:tc>
          <w:tcPr>
            <w:tcW w:w="2840" w:type="dxa"/>
            <w:vAlign w:val="bottom"/>
          </w:tcPr>
          <w:p>
            <w:pPr>
              <w:spacing w:after="0"/>
              <w:rPr>
                <w:sz w:val="24"/>
                <w:szCs w:val="24"/>
                <w:color w:val="auto"/>
              </w:rPr>
            </w:pPr>
          </w:p>
        </w:tc>
      </w:tr>
      <w:tr>
        <w:trPr>
          <w:trHeight w:val="196"/>
        </w:trPr>
        <w:tc>
          <w:tcPr>
            <w:tcW w:w="3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540" w:type="dxa"/>
            <w:vAlign w:val="bottom"/>
            <w:gridSpan w:val="9"/>
          </w:tcPr>
          <w:p>
            <w:pPr>
              <w:jc w:val="center"/>
              <w:ind w:right="19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Waltham, MA 02453</w:t>
            </w:r>
          </w:p>
        </w:tc>
        <w:tc>
          <w:tcPr>
            <w:tcW w:w="284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10"/>
          </w:tcPr>
          <w:p>
            <w:pPr>
              <w:jc w:val="center"/>
              <w:ind w:right="900"/>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2840" w:type="dxa"/>
            <w:vAlign w:val="bottom"/>
          </w:tcPr>
          <w:p>
            <w:pPr>
              <w:spacing w:after="0"/>
              <w:rPr>
                <w:sz w:val="20"/>
                <w:szCs w:val="20"/>
                <w:color w:val="auto"/>
              </w:rPr>
            </w:pPr>
          </w:p>
        </w:tc>
      </w:tr>
      <w:tr>
        <w:trPr>
          <w:trHeight w:val="413"/>
        </w:trPr>
        <w:tc>
          <w:tcPr>
            <w:tcW w:w="3000" w:type="dxa"/>
            <w:vAlign w:val="bottom"/>
          </w:tcPr>
          <w:p>
            <w:pPr>
              <w:spacing w:after="0"/>
              <w:rPr>
                <w:sz w:val="24"/>
                <w:szCs w:val="24"/>
                <w:color w:val="auto"/>
              </w:rPr>
            </w:pPr>
          </w:p>
        </w:tc>
        <w:tc>
          <w:tcPr>
            <w:tcW w:w="5380" w:type="dxa"/>
            <w:vAlign w:val="bottom"/>
            <w:gridSpan w:val="13"/>
          </w:tcPr>
          <w:p>
            <w:pPr>
              <w:jc w:val="center"/>
              <w:ind w:right="140"/>
              <w:spacing w:after="0"/>
              <w:rPr>
                <w:sz w:val="20"/>
                <w:szCs w:val="20"/>
                <w:color w:val="auto"/>
              </w:rPr>
            </w:pPr>
            <w:r>
              <w:rPr>
                <w:rFonts w:ascii="Times New Roman" w:cs="Times New Roman" w:eastAsia="Times New Roman" w:hAnsi="Times New Roman"/>
                <w:sz w:val="18"/>
                <w:szCs w:val="18"/>
                <w:color w:val="auto"/>
                <w:w w:val="98"/>
              </w:rPr>
              <w:t xml:space="preserve">Registrant’s telephone number, including area code: </w:t>
            </w:r>
            <w:r>
              <w:rPr>
                <w:rFonts w:ascii="Times New Roman" w:cs="Times New Roman" w:eastAsia="Times New Roman" w:hAnsi="Times New Roman"/>
                <w:sz w:val="18"/>
                <w:szCs w:val="18"/>
                <w:b w:val="1"/>
                <w:bCs w:val="1"/>
                <w:color w:val="auto"/>
                <w:w w:val="98"/>
              </w:rPr>
              <w:t>248.651.6568</w:t>
            </w:r>
          </w:p>
        </w:tc>
        <w:tc>
          <w:tcPr>
            <w:tcW w:w="2840" w:type="dxa"/>
            <w:vAlign w:val="bottom"/>
          </w:tcPr>
          <w:p>
            <w:pPr>
              <w:spacing w:after="0"/>
              <w:rPr>
                <w:sz w:val="24"/>
                <w:szCs w:val="24"/>
                <w:color w:val="auto"/>
              </w:rPr>
            </w:pPr>
          </w:p>
        </w:tc>
      </w:tr>
      <w:tr>
        <w:trPr>
          <w:trHeight w:val="367"/>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80" w:type="dxa"/>
            <w:vAlign w:val="bottom"/>
            <w:tcBorders>
              <w:top w:val="single" w:sz="8" w:color="auto"/>
              <w:bottom w:val="single" w:sz="8" w:color="auto"/>
            </w:tcBorders>
            <w:gridSpan w:val="2"/>
          </w:tcPr>
          <w:p>
            <w:pPr>
              <w:spacing w:after="0"/>
              <w:rPr>
                <w:sz w:val="24"/>
                <w:szCs w:val="24"/>
                <w:color w:val="auto"/>
              </w:rPr>
            </w:pPr>
          </w:p>
        </w:tc>
        <w:tc>
          <w:tcPr>
            <w:tcW w:w="500" w:type="dxa"/>
            <w:vAlign w:val="bottom"/>
            <w:tcBorders>
              <w:top w:val="single" w:sz="8" w:color="auto"/>
            </w:tcBorders>
            <w:gridSpan w:val="2"/>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538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(Former name or former address, if changed since last report)</w:t>
            </w:r>
          </w:p>
        </w:tc>
        <w:tc>
          <w:tcPr>
            <w:tcW w:w="2840" w:type="dxa"/>
            <w:vAlign w:val="bottom"/>
          </w:tcPr>
          <w:p>
            <w:pPr>
              <w:spacing w:after="0"/>
              <w:rPr>
                <w:sz w:val="20"/>
                <w:szCs w:val="20"/>
                <w:color w:val="auto"/>
              </w:rPr>
            </w:pPr>
          </w:p>
        </w:tc>
      </w:tr>
    </w:tbl>
    <w:p>
      <w:pPr>
        <w:spacing w:after="0" w:line="168"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6" w:lineRule="exact"/>
        <w:rPr>
          <w:sz w:val="24"/>
          <w:szCs w:val="24"/>
          <w:color w:val="auto"/>
        </w:rPr>
      </w:pPr>
    </w:p>
    <w:p>
      <w:pPr>
        <w:ind w:left="360" w:hanging="336"/>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Wingdings" w:cs="Wingdings" w:eastAsia="Wingdings" w:hAnsi="Wingdings"/>
          <w:sz w:val="18"/>
          <w:szCs w:val="18"/>
          <w:b w:val="1"/>
          <w:bCs w:val="1"/>
          <w:color w:val="auto"/>
        </w:rPr>
      </w:pPr>
    </w:p>
    <w:p>
      <w:pPr>
        <w:ind w:left="360" w:hanging="336"/>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Wingdings" w:cs="Wingdings" w:eastAsia="Wingdings" w:hAnsi="Wingdings"/>
          <w:sz w:val="18"/>
          <w:szCs w:val="18"/>
          <w:b w:val="1"/>
          <w:bCs w:val="1"/>
          <w:color w:val="auto"/>
        </w:rPr>
      </w:pPr>
    </w:p>
    <w:p>
      <w:pPr>
        <w:ind w:left="360" w:hanging="336"/>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Wingdings" w:cs="Wingdings" w:eastAsia="Wingdings" w:hAnsi="Wingdings"/>
          <w:sz w:val="18"/>
          <w:szCs w:val="18"/>
          <w:b w:val="1"/>
          <w:bCs w:val="1"/>
          <w:color w:val="auto"/>
        </w:rPr>
      </w:pPr>
    </w:p>
    <w:p>
      <w:pPr>
        <w:ind w:left="360" w:hanging="336"/>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17"/>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680" w:type="dxa"/>
            <w:vAlign w:val="bottom"/>
          </w:tcPr>
          <w:p>
            <w:pPr>
              <w:spacing w:after="0"/>
              <w:rPr>
                <w:sz w:val="24"/>
                <w:szCs w:val="24"/>
                <w:color w:val="auto"/>
              </w:rPr>
            </w:pPr>
          </w:p>
        </w:tc>
      </w:tr>
      <w:tr>
        <w:trPr>
          <w:trHeight w:val="236"/>
        </w:trPr>
        <w:tc>
          <w:tcPr>
            <w:tcW w:w="468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6"/>
        </w:trPr>
        <w:tc>
          <w:tcPr>
            <w:tcW w:w="3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4"/>
        </w:trPr>
        <w:tc>
          <w:tcPr>
            <w:tcW w:w="4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880" w:type="dxa"/>
            <w:vAlign w:val="bottom"/>
            <w:gridSpan w:val="2"/>
            <w:shd w:val="clear" w:color="auto" w:fill="CFF0FC"/>
          </w:tcPr>
          <w:p>
            <w:pPr>
              <w:jc w:val="center"/>
              <w:ind w:right="1000"/>
              <w:spacing w:after="0"/>
              <w:rPr>
                <w:sz w:val="20"/>
                <w:szCs w:val="20"/>
                <w:color w:val="auto"/>
              </w:rPr>
            </w:pPr>
            <w:r>
              <w:rPr>
                <w:rFonts w:ascii="Times New Roman" w:cs="Times New Roman" w:eastAsia="Times New Roman" w:hAnsi="Times New Roman"/>
                <w:sz w:val="18"/>
                <w:szCs w:val="18"/>
                <w:color w:val="auto"/>
                <w:w w:val="99"/>
              </w:rPr>
              <w:t>OPRX</w:t>
            </w:r>
          </w:p>
        </w:tc>
        <w:tc>
          <w:tcPr>
            <w:tcW w:w="3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The Nasdaq Capital Market</w:t>
            </w:r>
          </w:p>
        </w:tc>
      </w:tr>
      <w:tr>
        <w:trPr>
          <w:trHeight w:val="26"/>
        </w:trPr>
        <w:tc>
          <w:tcPr>
            <w:tcW w:w="36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7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80" w:type="dxa"/>
            <w:vAlign w:val="bottom"/>
            <w:shd w:val="clear" w:color="auto" w:fill="CFF0FC"/>
          </w:tcPr>
          <w:p>
            <w:pPr>
              <w:spacing w:after="0"/>
              <w:rPr>
                <w:sz w:val="2"/>
                <w:szCs w:val="2"/>
                <w:color w:val="auto"/>
              </w:rPr>
            </w:pPr>
          </w:p>
        </w:tc>
      </w:tr>
    </w:tbl>
    <w:p>
      <w:pPr>
        <w:spacing w:after="0" w:line="248"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o</w:t>
      </w:r>
    </w:p>
    <w:p>
      <w:pPr>
        <w:spacing w:after="0" w:line="191" w:lineRule="exact"/>
        <w:rPr>
          <w:sz w:val="24"/>
          <w:szCs w:val="24"/>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703580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46990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May 12, 2025, OptimizeRx Corporation issued a press release announcing its financial results for the first quarter ended March 31, 2025. A copy of the press release is furnished with this Current Report on Form 8-K as Exhibit 99.1 and is incorporated herein by reference.</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32"/>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6"/>
        </w:trPr>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0" w:type="dxa"/>
            <w:vAlign w:val="bottom"/>
            <w:tcBorders>
              <w:bottom w:val="single" w:sz="8" w:color="auto"/>
            </w:tcBorders>
          </w:tcPr>
          <w:p>
            <w:pPr>
              <w:spacing w:after="0"/>
              <w:rPr>
                <w:sz w:val="2"/>
                <w:szCs w:val="2"/>
                <w:color w:val="auto"/>
              </w:rPr>
            </w:pPr>
          </w:p>
        </w:tc>
      </w:tr>
      <w:tr>
        <w:trPr>
          <w:trHeight w:val="240"/>
        </w:trPr>
        <w:tc>
          <w:tcPr>
            <w:tcW w:w="170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20" w:type="dxa"/>
            <w:vAlign w:val="bottom"/>
            <w:tcBorders>
              <w:bottom w:val="single" w:sz="8" w:color="551A8B"/>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551A8B"/>
                <w:w w:val="97"/>
              </w:rPr>
              <w:t>Press release, dated May 12, 2025</w:t>
            </w:r>
          </w:p>
        </w:tc>
        <w:tc>
          <w:tcPr>
            <w:tcW w:w="7000" w:type="dxa"/>
            <w:vAlign w:val="bottom"/>
            <w:tcBorders>
              <w:bottom w:val="single" w:sz="8" w:color="CFF0FC"/>
            </w:tcBorders>
            <w:shd w:val="clear" w:color="auto" w:fill="CFF0FC"/>
          </w:tcPr>
          <w:p>
            <w:pPr>
              <w:spacing w:after="0"/>
              <w:rPr>
                <w:sz w:val="20"/>
                <w:szCs w:val="20"/>
                <w:color w:val="auto"/>
              </w:rPr>
            </w:pPr>
          </w:p>
        </w:tc>
      </w:tr>
      <w:tr>
        <w:trPr>
          <w:trHeight w:val="241"/>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21"/>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3"/>
          </w:tcPr>
          <w:p>
            <w:pPr>
              <w:jc w:val="right"/>
              <w:ind w:right="5580"/>
              <w:spacing w:after="0"/>
              <w:rPr>
                <w:sz w:val="20"/>
                <w:szCs w:val="20"/>
                <w:color w:val="auto"/>
              </w:rPr>
            </w:pPr>
            <w:r>
              <w:rPr>
                <w:rFonts w:ascii="Times New Roman" w:cs="Times New Roman" w:eastAsia="Times New Roman" w:hAnsi="Times New Roman"/>
                <w:sz w:val="18"/>
                <w:szCs w:val="18"/>
                <w:color w:val="auto"/>
              </w:rPr>
              <w:t>1</w:t>
            </w:r>
          </w:p>
        </w:tc>
      </w:tr>
      <w:tr>
        <w:trPr>
          <w:trHeight w:val="113"/>
        </w:trPr>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7" w:lineRule="exact"/>
        <w:rPr>
          <w:sz w:val="20"/>
          <w:szCs w:val="20"/>
          <w:color w:val="auto"/>
        </w:rPr>
      </w:pPr>
    </w:p>
    <w:p>
      <w:pPr>
        <w:ind w:right="440"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p>
        </w:tc>
        <w:tc>
          <w:tcPr>
            <w:tcW w:w="80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8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802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By:   /s/ Edward Stelmakh</w:t>
            </w:r>
          </w:p>
        </w:tc>
      </w:tr>
      <w:tr>
        <w:trPr>
          <w:trHeight w:val="215"/>
        </w:trPr>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Edward Stelmakh</w:t>
            </w:r>
          </w:p>
        </w:tc>
      </w:tr>
      <w:tr>
        <w:trPr>
          <w:trHeight w:val="178"/>
        </w:trPr>
        <w:tc>
          <w:tcPr>
            <w:tcW w:w="3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16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Chief Financial Officer and</w:t>
            </w:r>
          </w:p>
        </w:tc>
      </w:tr>
      <w:tr>
        <w:trPr>
          <w:trHeight w:val="241"/>
        </w:trPr>
        <w:tc>
          <w:tcPr>
            <w:tcW w:w="3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Operations Officer</w:t>
            </w:r>
          </w:p>
        </w:tc>
      </w:tr>
      <w:tr>
        <w:trPr>
          <w:trHeight w:val="894"/>
        </w:trPr>
        <w:tc>
          <w:tcPr>
            <w:tcW w:w="3200" w:type="dxa"/>
            <w:vAlign w:val="bottom"/>
          </w:tcPr>
          <w:p>
            <w:pPr>
              <w:spacing w:after="0"/>
              <w:rPr>
                <w:sz w:val="24"/>
                <w:szCs w:val="24"/>
                <w:color w:val="auto"/>
              </w:rPr>
            </w:pPr>
          </w:p>
        </w:tc>
        <w:tc>
          <w:tcPr>
            <w:tcW w:w="286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109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2681605</wp:posOffset>
            </wp:positionH>
            <wp:positionV relativeFrom="page">
              <wp:posOffset>834390</wp:posOffset>
            </wp:positionV>
            <wp:extent cx="2185670" cy="423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85670" cy="42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line="300" w:lineRule="auto"/>
        <w:rPr>
          <w:sz w:val="20"/>
          <w:szCs w:val="20"/>
          <w:color w:val="auto"/>
        </w:rPr>
      </w:pPr>
      <w:r>
        <w:rPr>
          <w:rFonts w:ascii="Arial" w:cs="Arial" w:eastAsia="Arial" w:hAnsi="Arial"/>
          <w:sz w:val="28"/>
          <w:szCs w:val="28"/>
          <w:b w:val="1"/>
          <w:bCs w:val="1"/>
          <w:color w:val="auto"/>
        </w:rPr>
        <w:t>OptimizeRx Reports First Quarter 2025 Financial Results and Updates Fiscal Year 2025 Guidance</w:t>
      </w:r>
    </w:p>
    <w:p>
      <w:pPr>
        <w:spacing w:after="0" w:line="132" w:lineRule="exact"/>
        <w:rPr>
          <w:sz w:val="20"/>
          <w:szCs w:val="20"/>
          <w:color w:val="auto"/>
        </w:rPr>
      </w:pPr>
    </w:p>
    <w:p>
      <w:pPr>
        <w:ind w:left="3280" w:hanging="313"/>
        <w:spacing w:after="0"/>
        <w:tabs>
          <w:tab w:leader="none" w:pos="3280" w:val="left"/>
        </w:tabs>
        <w:numPr>
          <w:ilvl w:val="0"/>
          <w:numId w:val="2"/>
        </w:numPr>
        <w:rPr>
          <w:rFonts w:ascii="Times New Roman" w:cs="Times New Roman" w:eastAsia="Times New Roman" w:hAnsi="Times New Roman"/>
          <w:sz w:val="21"/>
          <w:szCs w:val="21"/>
          <w:color w:val="auto"/>
        </w:rPr>
      </w:pPr>
      <w:r>
        <w:rPr>
          <w:rFonts w:ascii="Arial" w:cs="Arial" w:eastAsia="Arial" w:hAnsi="Arial"/>
          <w:sz w:val="18"/>
          <w:szCs w:val="18"/>
          <w:color w:val="auto"/>
        </w:rPr>
        <w:t>Q1 revenue of $21.9 million, increasing 11% year-over-year</w:t>
      </w:r>
    </w:p>
    <w:p>
      <w:pPr>
        <w:ind w:left="3240" w:hanging="224"/>
        <w:spacing w:after="0"/>
        <w:tabs>
          <w:tab w:leader="none" w:pos="3240" w:val="left"/>
        </w:tabs>
        <w:numPr>
          <w:ilvl w:val="1"/>
          <w:numId w:val="2"/>
        </w:numPr>
        <w:rPr>
          <w:rFonts w:ascii="Arial" w:cs="Arial" w:eastAsia="Arial" w:hAnsi="Arial"/>
          <w:sz w:val="18"/>
          <w:szCs w:val="18"/>
          <w:color w:val="auto"/>
        </w:rPr>
      </w:pPr>
      <w:r>
        <w:rPr>
          <w:rFonts w:ascii="Arial" w:cs="Arial" w:eastAsia="Arial" w:hAnsi="Arial"/>
          <w:sz w:val="18"/>
          <w:szCs w:val="18"/>
          <w:color w:val="auto"/>
        </w:rPr>
        <w:t>Q1 gross profit increased 9% year-over-year to $13.3 million</w:t>
      </w:r>
    </w:p>
    <w:p>
      <w:pPr>
        <w:spacing w:after="0" w:line="6"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Increases full year 2025 guidance to a revenue range between $101 million and $106 million and adjusted EBITDA range between $13 million and $15 million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 xml:space="preserve">WALTHAM, Mass. – May 12, 2025 – </w:t>
      </w:r>
      <w:r>
        <w:rPr>
          <w:rFonts w:ascii="Arial" w:cs="Arial" w:eastAsia="Arial" w:hAnsi="Arial"/>
          <w:sz w:val="18"/>
          <w:szCs w:val="18"/>
          <w:color w:val="auto"/>
        </w:rPr>
        <w:t>OptimizeRx Corp.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 (Nasdaq: OPRX), a leading provider of healthcare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helping life sciences companies reach and engage healthcare professionals (HCPs) and patients, today reported results for the three months ended March 31, 2025. Quarterly comparisons are to the same year-ago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4" w:lineRule="exact"/>
        <w:rPr>
          <w:sz w:val="20"/>
          <w:szCs w:val="20"/>
          <w:color w:val="auto"/>
        </w:rPr>
      </w:pPr>
    </w:p>
    <w:p>
      <w:pPr>
        <w:ind w:left="320" w:hanging="23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 the first quarter of 2025 increased 11% to $21.9 million, as compared to $19.7 million in the same year ago period</w:t>
      </w:r>
    </w:p>
    <w:p>
      <w:pPr>
        <w:spacing w:after="0" w:line="6" w:lineRule="exact"/>
        <w:rPr>
          <w:rFonts w:ascii="Arial" w:cs="Arial" w:eastAsia="Arial" w:hAnsi="Arial"/>
          <w:sz w:val="18"/>
          <w:szCs w:val="18"/>
          <w:color w:val="auto"/>
        </w:rPr>
      </w:pPr>
    </w:p>
    <w:p>
      <w:pPr>
        <w:ind w:left="320" w:hanging="23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 the first quarter of 2025 increased 9% year-over-year to $13.3 million, from $12.2 million during the first quarter of 2024</w:t>
      </w:r>
    </w:p>
    <w:p>
      <w:pPr>
        <w:spacing w:after="0" w:line="6" w:lineRule="exact"/>
        <w:rPr>
          <w:rFonts w:ascii="Arial" w:cs="Arial" w:eastAsia="Arial" w:hAnsi="Arial"/>
          <w:sz w:val="18"/>
          <w:szCs w:val="18"/>
          <w:color w:val="auto"/>
        </w:rPr>
      </w:pPr>
    </w:p>
    <w:p>
      <w:pPr>
        <w:ind w:left="320" w:hanging="233"/>
        <w:spacing w:after="0" w:line="247"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loss totaled $(2.2) million or $(0.12) per basic and diluted share in the first quarter of 2025, as compared to $(6.9) million or $(0.38) per basic and diluted share during the first quarter of 2024</w:t>
      </w:r>
    </w:p>
    <w:p>
      <w:pPr>
        <w:ind w:left="320" w:hanging="233"/>
        <w:spacing w:after="0" w:line="247"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in the first quarter totaled $1.5 million or $0.08 per diluted share, as compared to Non-GAAP net loss of $(2.0) million or $(0.11) per diluted share during the first quarter of 2024 (see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w:t>
      </w:r>
    </w:p>
    <w:p>
      <w:pPr>
        <w:ind w:left="320" w:hanging="233"/>
        <w:spacing w:after="0" w:line="247"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for the first quarter of 2025 increased to $1.5 million compared to $(0.3) million in the same year ago period (see *</w:t>
      </w:r>
      <w:r>
        <w:rPr>
          <w:rFonts w:ascii="Arial" w:cs="Arial" w:eastAsia="Arial" w:hAnsi="Arial"/>
          <w:sz w:val="18"/>
          <w:szCs w:val="18"/>
          <w:i w:val="1"/>
          <w:iCs w:val="1"/>
          <w:color w:val="auto"/>
        </w:rPr>
        <w:t xml:space="preserve">Non-GAAP Measures </w:t>
      </w:r>
      <w:r>
        <w:rPr>
          <w:rFonts w:ascii="Arial" w:cs="Arial" w:eastAsia="Arial" w:hAnsi="Arial"/>
          <w:sz w:val="18"/>
          <w:szCs w:val="18"/>
          <w:color w:val="auto"/>
        </w:rPr>
        <w:t>below)</w:t>
      </w:r>
    </w:p>
    <w:p>
      <w:pPr>
        <w:ind w:left="320" w:hanging="233"/>
        <w:spacing w:after="0" w:line="258" w:lineRule="auto"/>
        <w:tabs>
          <w:tab w:leader="none" w:pos="31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cash equivalents and short-term investments totaled $16.6 million as of March 31, 2025, as compared to $13.4 million as of December 31, 2024</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Stephen L. Silvestro, OptimizeRx CEO commented, </w:t>
      </w:r>
      <w:r>
        <w:rPr>
          <w:rFonts w:ascii="Times New Roman" w:cs="Times New Roman" w:eastAsia="Times New Roman" w:hAnsi="Times New Roman"/>
          <w:sz w:val="18"/>
          <w:szCs w:val="18"/>
          <w:color w:val="auto"/>
        </w:rPr>
        <w:t>“</w:t>
      </w:r>
      <w:r>
        <w:rPr>
          <w:rFonts w:ascii="Arial" w:cs="Arial" w:eastAsia="Arial" w:hAnsi="Arial"/>
          <w:sz w:val="18"/>
          <w:szCs w:val="18"/>
          <w:color w:val="auto"/>
        </w:rPr>
        <w:t>I’m encouraged by our year-to-date performance, which has exceeded both consensus estimates and our internal expectations. The momentum we saw at the end of 2024 has carried into 2025, with year-to-date contracted revenue up more than 20% compared to the same period last year—positioning us well for a strong second half of the year. I believe this performance clearly reflects the results of our focus on operational excellence, our commitment to delighting customers, and our efforts to deepen relationships with valued business partners, all of which are driving meaningful shareholder value.</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At the same time, we’ve already converted over 5% of our expected 2025 sales into subscription-based revenue streams. I believe this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transition, combined with our improving operating leverage, puts us on a strong path toward achieving Rule of 40 performance in the coming years.</w:t>
      </w:r>
    </w:p>
    <w:p>
      <w:pPr>
        <w:spacing w:after="0" w:line="18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Given our strong performance and positive outlook, I’m pleased to announce that we are raising our full-year guidance. We now expect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revenue range to be between $101 million and $106 million, and adjusted EBITDA to be between $13 million and $15 million.</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5"/>
        </w:trPr>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60" w:type="dxa"/>
            <w:vAlign w:val="bottom"/>
            <w:gridSpan w:val="3"/>
          </w:tcPr>
          <w:p>
            <w:pPr>
              <w:jc w:val="right"/>
              <w:ind w:right="331"/>
              <w:spacing w:after="0"/>
              <w:rPr>
                <w:sz w:val="20"/>
                <w:szCs w:val="20"/>
                <w:color w:val="auto"/>
              </w:rPr>
            </w:pPr>
            <w:r>
              <w:rPr>
                <w:rFonts w:ascii="Arial" w:cs="Arial" w:eastAsia="Arial" w:hAnsi="Arial"/>
                <w:sz w:val="18"/>
                <w:szCs w:val="18"/>
                <w:b w:val="1"/>
                <w:bCs w:val="1"/>
                <w:color w:val="auto"/>
              </w:rPr>
              <w:t>Rolling Twelve Months Ended March 31,</w:t>
            </w: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Key Performance Indicators (KPIs)**</w:t>
            </w:r>
          </w:p>
        </w:tc>
        <w:tc>
          <w:tcPr>
            <w:tcW w:w="260" w:type="dxa"/>
            <w:vAlign w:val="bottom"/>
          </w:tcPr>
          <w:p>
            <w:pPr>
              <w:spacing w:after="0"/>
              <w:rPr>
                <w:sz w:val="22"/>
                <w:szCs w:val="22"/>
                <w:color w:val="auto"/>
              </w:rPr>
            </w:pPr>
          </w:p>
        </w:tc>
        <w:tc>
          <w:tcPr>
            <w:tcW w:w="1840" w:type="dxa"/>
            <w:vAlign w:val="bottom"/>
          </w:tcPr>
          <w:p>
            <w:pPr>
              <w:jc w:val="right"/>
              <w:ind w:right="792"/>
              <w:spacing w:after="0"/>
              <w:rPr>
                <w:sz w:val="20"/>
                <w:szCs w:val="20"/>
                <w:color w:val="auto"/>
              </w:rPr>
            </w:pPr>
            <w:r>
              <w:rPr>
                <w:rFonts w:ascii="Arial" w:cs="Arial" w:eastAsia="Arial" w:hAnsi="Arial"/>
                <w:sz w:val="18"/>
                <w:szCs w:val="18"/>
                <w:b w:val="1"/>
                <w:bCs w:val="1"/>
                <w:color w:val="auto"/>
              </w:rPr>
              <w:t>2025</w:t>
            </w:r>
          </w:p>
        </w:tc>
        <w:tc>
          <w:tcPr>
            <w:tcW w:w="540" w:type="dxa"/>
            <w:vAlign w:val="bottom"/>
          </w:tcPr>
          <w:p>
            <w:pPr>
              <w:spacing w:after="0"/>
              <w:rPr>
                <w:sz w:val="22"/>
                <w:szCs w:val="22"/>
                <w:color w:val="auto"/>
              </w:rPr>
            </w:pPr>
          </w:p>
        </w:tc>
        <w:tc>
          <w:tcPr>
            <w:tcW w:w="1580" w:type="dxa"/>
            <w:vAlign w:val="bottom"/>
          </w:tcPr>
          <w:p>
            <w:pPr>
              <w:jc w:val="right"/>
              <w:ind w:right="731"/>
              <w:spacing w:after="0"/>
              <w:rPr>
                <w:sz w:val="20"/>
                <w:szCs w:val="20"/>
                <w:color w:val="auto"/>
              </w:rPr>
            </w:pPr>
            <w:r>
              <w:rPr>
                <w:rFonts w:ascii="Arial" w:cs="Arial" w:eastAsia="Arial" w:hAnsi="Arial"/>
                <w:sz w:val="18"/>
                <w:szCs w:val="18"/>
                <w:b w:val="1"/>
                <w:bCs w:val="1"/>
                <w:color w:val="auto"/>
              </w:rPr>
              <w:t>2024</w:t>
            </w: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3"/>
          </w:tcPr>
          <w:p>
            <w:pPr>
              <w:spacing w:after="0"/>
              <w:rPr>
                <w:sz w:val="2"/>
                <w:szCs w:val="2"/>
                <w:color w:val="auto"/>
              </w:rPr>
            </w:pPr>
          </w:p>
        </w:tc>
      </w:tr>
      <w:tr>
        <w:trPr>
          <w:trHeight w:val="227"/>
        </w:trPr>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60" w:type="dxa"/>
            <w:vAlign w:val="bottom"/>
            <w:gridSpan w:val="3"/>
          </w:tcPr>
          <w:p>
            <w:pPr>
              <w:jc w:val="right"/>
              <w:ind w:right="671"/>
              <w:spacing w:after="0"/>
              <w:rPr>
                <w:sz w:val="20"/>
                <w:szCs w:val="20"/>
                <w:color w:val="auto"/>
              </w:rPr>
            </w:pPr>
            <w:r>
              <w:rPr>
                <w:rFonts w:ascii="Arial" w:cs="Arial" w:eastAsia="Arial" w:hAnsi="Arial"/>
                <w:sz w:val="16"/>
                <w:szCs w:val="16"/>
                <w:b w:val="1"/>
                <w:bCs w:val="1"/>
                <w:color w:val="auto"/>
              </w:rPr>
              <w:t>(in thousands, except percentages)</w:t>
            </w:r>
          </w:p>
        </w:tc>
      </w:tr>
      <w:tr>
        <w:trPr>
          <w:trHeight w:val="33"/>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revenue per top 20 pharmaceutical manufacturer</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2,960</w:t>
            </w:r>
          </w:p>
        </w:tc>
        <w:tc>
          <w:tcPr>
            <w:tcW w:w="54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2,592</w:t>
            </w:r>
          </w:p>
        </w:tc>
      </w:tr>
      <w:tr>
        <w:trPr>
          <w:trHeight w:val="256"/>
        </w:trPr>
        <w:tc>
          <w:tcPr>
            <w:tcW w:w="7020" w:type="dxa"/>
            <w:vAlign w:val="bottom"/>
          </w:tcPr>
          <w:p>
            <w:pPr>
              <w:ind w:left="20"/>
              <w:spacing w:after="0"/>
              <w:rPr>
                <w:sz w:val="20"/>
                <w:szCs w:val="20"/>
                <w:color w:val="auto"/>
              </w:rPr>
            </w:pPr>
            <w:r>
              <w:rPr>
                <w:rFonts w:ascii="Arial" w:cs="Arial" w:eastAsia="Arial" w:hAnsi="Arial"/>
                <w:sz w:val="18"/>
                <w:szCs w:val="18"/>
                <w:color w:val="auto"/>
              </w:rPr>
              <w:t>Percent of total revenue attributable to top 20 pharmaceutical manufacturers</w:t>
            </w:r>
          </w:p>
        </w:tc>
        <w:tc>
          <w:tcPr>
            <w:tcW w:w="2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63 %</w:t>
            </w:r>
          </w:p>
        </w:tc>
        <w:tc>
          <w:tcPr>
            <w:tcW w:w="5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37"/>
        </w:trPr>
        <w:tc>
          <w:tcPr>
            <w:tcW w:w="7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 retention</w:t>
            </w: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5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56"/>
        </w:trPr>
        <w:tc>
          <w:tcPr>
            <w:tcW w:w="7020" w:type="dxa"/>
            <w:vAlign w:val="bottom"/>
          </w:tcPr>
          <w:p>
            <w:pPr>
              <w:ind w:left="20"/>
              <w:spacing w:after="0"/>
              <w:rPr>
                <w:sz w:val="20"/>
                <w:szCs w:val="20"/>
                <w:color w:val="auto"/>
              </w:rPr>
            </w:pPr>
            <w:r>
              <w:rPr>
                <w:rFonts w:ascii="Arial" w:cs="Arial" w:eastAsia="Arial" w:hAnsi="Arial"/>
                <w:sz w:val="18"/>
                <w:szCs w:val="18"/>
                <w:color w:val="auto"/>
              </w:rPr>
              <w:t>Revenue per average full-time employee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92"/>
              <w:spacing w:after="0"/>
              <w:rPr>
                <w:sz w:val="20"/>
                <w:szCs w:val="20"/>
                <w:color w:val="auto"/>
              </w:rPr>
            </w:pPr>
            <w:r>
              <w:rPr>
                <w:rFonts w:ascii="Arial" w:cs="Arial" w:eastAsia="Arial" w:hAnsi="Arial"/>
                <w:sz w:val="18"/>
                <w:szCs w:val="18"/>
                <w:color w:val="auto"/>
              </w:rPr>
              <w:t>710</w:t>
            </w:r>
          </w:p>
        </w:tc>
        <w:tc>
          <w:tcPr>
            <w:tcW w:w="54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641</w:t>
            </w:r>
          </w:p>
        </w:tc>
      </w:tr>
    </w:tbl>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Financial Outlook</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increasing its 2025 guidance and expects revenue to be between $101 million and $106 million with Adjusted EBITDA to be between $13 million and $15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Monday, May 12, 2025</w:t>
      </w:r>
    </w:p>
    <w:p>
      <w:pPr>
        <w:spacing w:after="0" w:line="2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Time:</w:t>
        <w:tab/>
        <w:t>4:30 p.m. Eastern Time (1:30 p.m. Pacific Time)</w:t>
      </w:r>
    </w:p>
    <w:p>
      <w:pPr>
        <w:spacing w:after="0" w:line="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Toll Free:</w:t>
      </w:r>
      <w:r>
        <w:rPr>
          <w:sz w:val="20"/>
          <w:szCs w:val="20"/>
          <w:color w:val="auto"/>
        </w:rPr>
        <w:tab/>
      </w:r>
      <w:r>
        <w:rPr>
          <w:rFonts w:ascii="Arial" w:cs="Arial" w:eastAsia="Arial" w:hAnsi="Arial"/>
          <w:sz w:val="17"/>
          <w:szCs w:val="17"/>
          <w:color w:val="auto"/>
        </w:rPr>
        <w:t>1-844-825-9789</w:t>
      </w:r>
    </w:p>
    <w:p>
      <w:pPr>
        <w:spacing w:after="0" w:line="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International:</w:t>
        <w:tab/>
        <w:t>1-412-317-5180</w:t>
      </w:r>
    </w:p>
    <w:p>
      <w:pPr>
        <w:spacing w:after="0" w:line="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Conference ID:</w:t>
      </w:r>
      <w:r>
        <w:rPr>
          <w:sz w:val="20"/>
          <w:szCs w:val="20"/>
          <w:color w:val="auto"/>
        </w:rPr>
        <w:tab/>
      </w:r>
      <w:r>
        <w:rPr>
          <w:rFonts w:ascii="Arial" w:cs="Arial" w:eastAsia="Arial" w:hAnsi="Arial"/>
          <w:sz w:val="17"/>
          <w:szCs w:val="17"/>
          <w:color w:val="auto"/>
        </w:rPr>
        <w:t>10198829</w:t>
      </w:r>
    </w:p>
    <w:p>
      <w:pPr>
        <w:spacing w:after="0" w:line="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Call Me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https://callme.viavid.com/?$Y2FsbG1lPXRydWUmcGFzc2NvZGU9JmluZm89Y29tcGFueSZyPXRydWUmYj0xNg==</w:t>
      </w:r>
    </w:p>
    <w:p>
      <w:pPr>
        <w:spacing w:after="0" w:line="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Webcast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https://viavid.webcasts.com/starthere.jsp?ei=1708545&amp;tp_key=86684771bf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Me Passcode</w:t>
      </w:r>
      <w:r>
        <w:rPr>
          <w:rFonts w:ascii="Arial" w:cs="Arial" w:eastAsia="Arial" w:hAnsi="Arial"/>
          <w:sz w:val="18"/>
          <w:szCs w:val="18"/>
          <w:color w:val="auto"/>
        </w:rPr>
        <w:t>: 8199416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Webcast Replay: </w:t>
      </w:r>
      <w:r>
        <w:rPr>
          <w:rFonts w:ascii="Arial" w:cs="Arial" w:eastAsia="Arial" w:hAnsi="Arial"/>
          <w:sz w:val="18"/>
          <w:szCs w:val="18"/>
          <w:color w:val="auto"/>
        </w:rPr>
        <w:t>The archived webcast will be on the investor relations section of the OptimizeRx website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Meeting Invitation</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an effort to increase relations with institutional investors, OptimizeRx management has dedicated time to hosting individual meetings with portfolio managers and analysts. If you are interested in scheduling a meeting with OptimizeRx management, please contact: adsilva@optimizerx.com or shalper@lifesciadvisors.com.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earnings release also contains non-GAAP financial measures. The reasons why we believe these measures provide useful information to investors and, for historical periods, a reconciliation of these measures to the most directly comparable GAAP measures are included in the supplemental tables that follow.</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the Company provides guidance for Adjusted EBITDA, a non-GAAP financial measure, it is not able to provide guidance to the most directly comparable GAAP measure. Reconciliations for forward-looking figures would require unreasonable effort at this time because of the uncertainty and variability of the nature and amount of certain components of various necessary GAAP components, including, for example, those related to compensation, acquisition expenses, other income,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sectPr>
          <w:pgSz w:w="11900" w:h="16838" w:orient="portrait"/>
          <w:cols w:equalWidth="0" w:num="1">
            <w:col w:w="11240"/>
          </w:cols>
          <w:pgMar w:left="320" w:top="114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**Definition of Key Performance Indicators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Top 20 pharmaceutical manufacturers: </w:t>
      </w:r>
      <w:r>
        <w:rPr>
          <w:rFonts w:ascii="Arial" w:cs="Arial" w:eastAsia="Arial" w:hAnsi="Arial"/>
          <w:sz w:val="18"/>
          <w:szCs w:val="18"/>
          <w:color w:val="auto"/>
        </w:rPr>
        <w:t>We have updated the definition of</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top 20 pharmaceutical manufacturers</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our key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indicators to be based upon Fierce Pharma’s most updated list of </w:t>
      </w:r>
      <w:r>
        <w:rPr>
          <w:rFonts w:ascii="Times New Roman" w:cs="Times New Roman" w:eastAsia="Times New Roman" w:hAnsi="Times New Roman"/>
          <w:sz w:val="18"/>
          <w:szCs w:val="18"/>
          <w:color w:val="auto"/>
        </w:rPr>
        <w:t>“</w:t>
      </w:r>
      <w:r>
        <w:rPr>
          <w:rFonts w:ascii="Arial" w:cs="Arial" w:eastAsia="Arial" w:hAnsi="Arial"/>
          <w:sz w:val="18"/>
          <w:szCs w:val="18"/>
          <w:color w:val="auto"/>
        </w:rPr>
        <w:t>The top 20 pharma companies by 2024 revenue</w:t>
      </w:r>
      <w:r>
        <w:rPr>
          <w:rFonts w:ascii="Times New Roman" w:cs="Times New Roman" w:eastAsia="Times New Roman" w:hAnsi="Times New Roman"/>
          <w:sz w:val="18"/>
          <w:szCs w:val="18"/>
          <w:color w:val="auto"/>
        </w:rPr>
        <w:t>”</w:t>
      </w:r>
      <w:r>
        <w:rPr>
          <w:rFonts w:ascii="Arial" w:cs="Arial" w:eastAsia="Arial" w:hAnsi="Arial"/>
          <w:sz w:val="18"/>
          <w:szCs w:val="18"/>
          <w:color w:val="auto"/>
        </w:rPr>
        <w:t>. We previously used “The top 20 pharma companies by 2023 revenue</w:t>
      </w:r>
      <w:r>
        <w:rPr>
          <w:rFonts w:ascii="Times New Roman" w:cs="Times New Roman" w:eastAsia="Times New Roman" w:hAnsi="Times New Roman"/>
          <w:sz w:val="18"/>
          <w:szCs w:val="18"/>
          <w:color w:val="auto"/>
        </w:rPr>
        <w:t>”</w:t>
      </w:r>
      <w:r>
        <w:rPr>
          <w:rFonts w:ascii="Arial" w:cs="Arial" w:eastAsia="Arial" w:hAnsi="Arial"/>
          <w:sz w:val="18"/>
          <w:szCs w:val="18"/>
          <w:color w:val="auto"/>
        </w:rPr>
        <w:t>. As a result of this change, prior periods have been restated for comparative purposes.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Net revenue retention</w:t>
      </w:r>
      <w:r>
        <w:rPr>
          <w:rFonts w:ascii="Arial" w:cs="Arial" w:eastAsia="Arial" w:hAnsi="Arial"/>
          <w:sz w:val="18"/>
          <w:szCs w:val="18"/>
          <w:color w:val="auto"/>
        </w:rPr>
        <w:t>: Net revenue retention is a comparison of revenue generated from all clients in the previous period to total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from the same clients in the following year (i.e., excludes new client relationships for the most recent year).</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 xml:space="preserve">Revenue per average full-time employee: </w:t>
      </w:r>
      <w:r>
        <w:rPr>
          <w:rFonts w:ascii="Arial" w:cs="Arial" w:eastAsia="Arial" w:hAnsi="Arial"/>
          <w:sz w:val="18"/>
          <w:szCs w:val="18"/>
          <w:color w:val="auto"/>
        </w:rPr>
        <w:t>We define revenue per average full-time employee (FTE) as total revenue over the last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(LTM) divided by the average number of employees over the LTM, which is calculated by taking our total number of FTEs at the end of the prior year period by our total FTE headcount at the end of the most recent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This press release contains forward-looking statements within the meaning of the Private Securities Litigation Reform Act of 1995. Words such as </w:t>
      </w:r>
      <w:r>
        <w:rPr>
          <w:rFonts w:ascii="Times New Roman" w:cs="Times New Roman" w:eastAsia="Times New Roman" w:hAnsi="Times New Roman"/>
          <w:sz w:val="18"/>
          <w:szCs w:val="18"/>
          <w:color w:val="auto"/>
        </w:rPr>
        <w:t>“</w:t>
      </w:r>
      <w:r>
        <w:rPr>
          <w:rFonts w:ascii="Arial" w:cs="Arial" w:eastAsia="Arial" w:hAnsi="Arial"/>
          <w:sz w:val="18"/>
          <w:szCs w:val="18"/>
          <w:color w:val="auto"/>
        </w:rPr>
        <w:t>anticipates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believes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estimates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expects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forecasts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intends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plans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projects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targets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designed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could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may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should</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will</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or other similar words and expressions are intended to identify these forward-looking statements. All statements that reflect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Company’s expectations, assumptions, projections, beliefs or opinions about the future, other than statements of historical fact, are forward-looking statements, including, without limitation, statements relating to the Company’s future performance, expected revenues, expected Adjusted EBITDA, plans to grow shareholder value creation, plans to continue the Company’s growth and transformation, plans to position the Company to become a </w:t>
      </w:r>
      <w:r>
        <w:rPr>
          <w:rFonts w:ascii="Times New Roman" w:cs="Times New Roman" w:eastAsia="Times New Roman" w:hAnsi="Times New Roman"/>
          <w:sz w:val="18"/>
          <w:szCs w:val="18"/>
          <w:color w:val="auto"/>
        </w:rPr>
        <w:t>“</w:t>
      </w:r>
      <w:r>
        <w:rPr>
          <w:rFonts w:ascii="Arial" w:cs="Arial" w:eastAsia="Arial" w:hAnsi="Arial"/>
          <w:sz w:val="18"/>
          <w:szCs w:val="18"/>
          <w:color w:val="auto"/>
        </w:rPr>
        <w:t>Rule of 40</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company, plans for forging stronger relationships with valued business partners, and other statements relating to future performance, plans, and expectations. These forward-looking statements are based 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fiscal year ended December 31, 2024, its subsequent Quarterly Reports on Form 10-Q, and in</w:t>
      </w:r>
    </w:p>
    <w:p>
      <w:pPr>
        <w:sectPr>
          <w:pgSz w:w="11900" w:h="16838" w:orient="portrait"/>
          <w:cols w:equalWidth="0" w:num="1">
            <w:col w:w="11240"/>
          </w:cols>
          <w:pgMar w:left="320" w:top="1295"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other filings the Company has made and may make with the Securities and Exchange Commission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Steven Halper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shalper@lifesciadvisors.com</w:t>
      </w:r>
    </w:p>
    <w:p>
      <w:pPr>
        <w:sectPr>
          <w:pgSz w:w="11900" w:h="16838" w:orient="portrait"/>
          <w:cols w:equalWidth="0" w:num="1">
            <w:col w:w="11240"/>
          </w:cols>
          <w:pgMar w:left="320" w:top="129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jc w:val="center"/>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600" w:type="dxa"/>
            <w:vAlign w:val="bottom"/>
          </w:tcPr>
          <w:p>
            <w:pPr>
              <w:jc w:val="right"/>
              <w:ind w:right="320"/>
              <w:spacing w:after="0"/>
              <w:rPr>
                <w:sz w:val="20"/>
                <w:szCs w:val="20"/>
                <w:color w:val="auto"/>
              </w:rPr>
            </w:pPr>
            <w:r>
              <w:rPr>
                <w:rFonts w:ascii="Arial" w:cs="Arial" w:eastAsia="Arial" w:hAnsi="Arial"/>
                <w:sz w:val="16"/>
                <w:szCs w:val="16"/>
                <w:b w:val="1"/>
                <w:bCs w:val="1"/>
                <w:color w:val="auto"/>
              </w:rPr>
              <w:t>December 31,</w:t>
            </w:r>
          </w:p>
        </w:tc>
      </w:tr>
      <w:tr>
        <w:trPr>
          <w:trHeight w:val="221"/>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center"/>
              <w:ind w:right="22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ind w:right="660"/>
              <w:spacing w:after="0"/>
              <w:rPr>
                <w:sz w:val="20"/>
                <w:szCs w:val="20"/>
                <w:color w:val="auto"/>
              </w:rPr>
            </w:pPr>
            <w:r>
              <w:rPr>
                <w:rFonts w:ascii="Arial" w:cs="Arial" w:eastAsia="Arial" w:hAnsi="Arial"/>
                <w:sz w:val="16"/>
                <w:szCs w:val="16"/>
                <w:b w:val="1"/>
                <w:bCs w:val="1"/>
                <w:color w:val="auto"/>
              </w:rPr>
              <w:t>2024</w:t>
            </w:r>
          </w:p>
        </w:tc>
      </w:tr>
      <w:tr>
        <w:trPr>
          <w:trHeight w:val="267"/>
        </w:trPr>
        <w:tc>
          <w:tcPr>
            <w:tcW w:w="7440" w:type="dxa"/>
            <w:vAlign w:val="bottom"/>
          </w:tcPr>
          <w:p>
            <w:pPr>
              <w:ind w:left="340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3"/>
                <w:szCs w:val="23"/>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6"/>
                <w:szCs w:val="16"/>
                <w:color w:val="auto"/>
                <w:w w:val="98"/>
              </w:rPr>
              <w:t>(unaudited)</w:t>
            </w:r>
          </w:p>
        </w:tc>
        <w:tc>
          <w:tcPr>
            <w:tcW w:w="2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16,573</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13,380</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2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net of allowance for credit losses of $335 at March 31, 2025 and December 31,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38,212</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Taxes receivable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6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2,379</w:t>
            </w: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51,711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53,971</w:t>
            </w:r>
          </w:p>
        </w:tc>
      </w:tr>
      <w:tr>
        <w:trPr>
          <w:trHeight w:val="43"/>
        </w:trPr>
        <w:tc>
          <w:tcPr>
            <w:tcW w:w="7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6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74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70,869</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Patent rights,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5,517</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Technology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8,180</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Tradename and customer relationships,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31,819</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right of 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Security deposits and other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43"/>
        </w:trPr>
        <w:tc>
          <w:tcPr>
            <w:tcW w:w="7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6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117,047</w:t>
            </w:r>
          </w:p>
        </w:tc>
      </w:tr>
      <w:tr>
        <w:trPr>
          <w:trHeight w:val="254"/>
        </w:trPr>
        <w:tc>
          <w:tcPr>
            <w:tcW w:w="7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167,768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171,168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3"/>
        </w:trPr>
        <w:tc>
          <w:tcPr>
            <w:tcW w:w="7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33"/>
        </w:trPr>
        <w:tc>
          <w:tcPr>
            <w:tcW w:w="7440" w:type="dxa"/>
            <w:vAlign w:val="bottom"/>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9,277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8,486</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 share payable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5,053</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Taxes payable</w:t>
            </w:r>
          </w:p>
        </w:tc>
        <w:tc>
          <w:tcPr>
            <w:tcW w:w="3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43"/>
        </w:trPr>
        <w:tc>
          <w:tcPr>
            <w:tcW w:w="7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6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18,654</w:t>
            </w:r>
          </w:p>
        </w:tc>
      </w:tr>
      <w:tr>
        <w:trPr>
          <w:trHeight w:val="203"/>
        </w:trPr>
        <w:tc>
          <w:tcPr>
            <w:tcW w:w="74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30,816</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Lease liabilities, net of current portion</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6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liabilities, net</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4,491</w:t>
            </w: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51,498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54,170</w:t>
            </w:r>
          </w:p>
        </w:tc>
      </w:tr>
      <w:tr>
        <w:trPr>
          <w:trHeight w:val="43"/>
        </w:trPr>
        <w:tc>
          <w:tcPr>
            <w:tcW w:w="7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4"/>
        </w:trPr>
        <w:tc>
          <w:tcPr>
            <w:tcW w:w="7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2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10,000,000 shares authorized, none issued and outstanding at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March 31, 2025 or December 31, 2024</w:t>
            </w: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Common stock, $0.001 par value, 166,666,667 shares authorized, 20,234,186 and 20,194,697 shares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3"/>
        </w:trPr>
        <w:tc>
          <w:tcPr>
            <w:tcW w:w="7440" w:type="dxa"/>
            <w:vAlign w:val="bottom"/>
          </w:tcPr>
          <w:p>
            <w:pPr>
              <w:ind w:left="340"/>
              <w:spacing w:after="0"/>
              <w:rPr>
                <w:sz w:val="20"/>
                <w:szCs w:val="20"/>
                <w:color w:val="auto"/>
              </w:rPr>
            </w:pPr>
            <w:r>
              <w:rPr>
                <w:rFonts w:ascii="Arial" w:cs="Arial" w:eastAsia="Arial" w:hAnsi="Arial"/>
                <w:sz w:val="16"/>
                <w:szCs w:val="16"/>
                <w:color w:val="auto"/>
              </w:rPr>
              <w:t>issued at March 31, 2025 and December 31, 2024, respectively</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$0.001 par value, (1,741,397) shares held at March 31, 2025 and December 31, 2024</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7440" w:type="dxa"/>
            <w:vAlign w:val="bottom"/>
          </w:tcPr>
          <w:p>
            <w:pPr>
              <w:ind w:left="180"/>
              <w:spacing w:after="0"/>
              <w:rPr>
                <w:sz w:val="20"/>
                <w:szCs w:val="20"/>
                <w:color w:val="auto"/>
              </w:rPr>
            </w:pPr>
            <w:r>
              <w:rPr>
                <w:rFonts w:ascii="Arial" w:cs="Arial" w:eastAsia="Arial" w:hAnsi="Arial"/>
                <w:sz w:val="16"/>
                <w:szCs w:val="16"/>
                <w:color w:val="auto"/>
              </w:rPr>
              <w:t>Additional paid-in-capital</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202,819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201,348</w:t>
            </w:r>
          </w:p>
        </w:tc>
      </w:tr>
      <w:tr>
        <w:trPr>
          <w:trHeight w:val="43"/>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6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(84,368)</w:t>
            </w: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116,270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116,998</w:t>
            </w:r>
          </w:p>
        </w:tc>
      </w:tr>
      <w:tr>
        <w:trPr>
          <w:trHeight w:val="43"/>
        </w:trPr>
        <w:tc>
          <w:tcPr>
            <w:tcW w:w="7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7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171,168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293"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jc w:val="center"/>
        <w:spacing w:after="0" w:line="235"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316"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For the Three Months Ended</w:t>
      </w:r>
    </w:p>
    <w:p>
      <w:pPr>
        <w:spacing w:after="0" w:line="38"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29845</wp:posOffset>
            </wp:positionV>
            <wp:extent cx="2364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31"/>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11"/>
              <w:spacing w:after="0"/>
              <w:rPr>
                <w:sz w:val="20"/>
                <w:szCs w:val="20"/>
                <w:color w:val="auto"/>
              </w:rPr>
            </w:pPr>
            <w:r>
              <w:rPr>
                <w:rFonts w:ascii="Arial" w:cs="Arial" w:eastAsia="Arial" w:hAnsi="Arial"/>
                <w:sz w:val="18"/>
                <w:szCs w:val="18"/>
                <w:b w:val="1"/>
                <w:bCs w:val="1"/>
                <w:color w:val="auto"/>
              </w:rPr>
              <w:t>2024</w:t>
            </w:r>
          </w:p>
        </w:tc>
      </w:tr>
      <w:tr>
        <w:trPr>
          <w:trHeight w:val="27"/>
        </w:trPr>
        <w:tc>
          <w:tcPr>
            <w:tcW w:w="7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7"/>
        </w:trPr>
        <w:tc>
          <w:tcPr>
            <w:tcW w:w="7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19,690</w:t>
            </w:r>
          </w:p>
        </w:tc>
      </w:tr>
      <w:tr>
        <w:trPr>
          <w:trHeight w:val="256"/>
        </w:trPr>
        <w:tc>
          <w:tcPr>
            <w:tcW w:w="752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 presented separately below</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8,584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7,486</w:t>
            </w:r>
          </w:p>
        </w:tc>
      </w:tr>
      <w:tr>
        <w:trPr>
          <w:trHeight w:val="37"/>
        </w:trPr>
        <w:tc>
          <w:tcPr>
            <w:tcW w:w="75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8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12,204</w:t>
            </w:r>
          </w:p>
        </w:tc>
      </w:tr>
      <w:tr>
        <w:trPr>
          <w:trHeight w:val="247"/>
        </w:trPr>
        <w:tc>
          <w:tcPr>
            <w:tcW w:w="75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r>
      <w:tr>
        <w:trPr>
          <w:trHeight w:val="27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56"/>
        </w:trPr>
        <w:tc>
          <w:tcPr>
            <w:tcW w:w="752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14,364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16,166</w:t>
            </w:r>
          </w:p>
        </w:tc>
      </w:tr>
      <w:tr>
        <w:trPr>
          <w:trHeight w:val="37"/>
        </w:trPr>
        <w:tc>
          <w:tcPr>
            <w:tcW w:w="7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4"/>
        </w:trPr>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49"/>
        </w:trPr>
        <w:tc>
          <w:tcPr>
            <w:tcW w:w="7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15,458</w:t>
            </w: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17,233</w:t>
            </w:r>
          </w:p>
        </w:tc>
      </w:tr>
      <w:tr>
        <w:trPr>
          <w:trHeight w:val="37"/>
        </w:trPr>
        <w:tc>
          <w:tcPr>
            <w:tcW w:w="75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6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(5,029)</w:t>
            </w:r>
          </w:p>
        </w:tc>
      </w:tr>
      <w:tr>
        <w:trPr>
          <w:trHeight w:val="256"/>
        </w:trPr>
        <w:tc>
          <w:tcPr>
            <w:tcW w:w="75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37"/>
        </w:trPr>
        <w:tc>
          <w:tcPr>
            <w:tcW w:w="7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4"/>
        </w:trPr>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56"/>
        </w:trPr>
        <w:tc>
          <w:tcPr>
            <w:tcW w:w="75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
        </w:trPr>
        <w:tc>
          <w:tcPr>
            <w:tcW w:w="7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4"/>
        </w:trPr>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9"/>
        </w:trPr>
        <w:tc>
          <w:tcPr>
            <w:tcW w:w="75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w:t>
            </w:r>
          </w:p>
        </w:tc>
      </w:tr>
      <w:tr>
        <w:trPr>
          <w:trHeight w:val="37"/>
        </w:trPr>
        <w:tc>
          <w:tcPr>
            <w:tcW w:w="75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6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r>
      <w:tr>
        <w:trPr>
          <w:trHeight w:val="256"/>
        </w:trPr>
        <w:tc>
          <w:tcPr>
            <w:tcW w:w="75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37"/>
        </w:trPr>
        <w:tc>
          <w:tcPr>
            <w:tcW w:w="75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30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67"/>
        </w:trPr>
        <w:tc>
          <w:tcPr>
            <w:tcW w:w="75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18,470,808</w:t>
            </w:r>
          </w:p>
        </w:tc>
        <w:tc>
          <w:tcPr>
            <w:tcW w:w="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18,170,108</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2"/>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18,470,808</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18,170,108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67"/>
        </w:trPr>
        <w:tc>
          <w:tcPr>
            <w:tcW w:w="7520" w:type="dxa"/>
            <w:vAlign w:val="bottom"/>
          </w:tcPr>
          <w:p>
            <w:pPr>
              <w:ind w:left="20"/>
              <w:spacing w:after="0"/>
              <w:rPr>
                <w:sz w:val="20"/>
                <w:szCs w:val="20"/>
                <w:color w:val="auto"/>
              </w:rPr>
            </w:pPr>
            <w:r>
              <w:rPr>
                <w:rFonts w:ascii="Arial" w:cs="Arial" w:eastAsia="Arial" w:hAnsi="Arial"/>
                <w:sz w:val="18"/>
                <w:szCs w:val="18"/>
                <w:color w:val="auto"/>
              </w:rPr>
              <w:t>Loss per share – basic</w:t>
            </w:r>
          </w:p>
        </w:tc>
        <w:tc>
          <w:tcPr>
            <w:tcW w:w="4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3"/>
                <w:szCs w:val="23"/>
                <w:color w:val="auto"/>
              </w:rPr>
            </w:pPr>
          </w:p>
        </w:tc>
        <w:tc>
          <w:tcPr>
            <w:tcW w:w="4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2"/>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 diluted</w:t>
            </w: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5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9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For the Three Months Ended</w:t>
      </w:r>
    </w:p>
    <w:p>
      <w:pPr>
        <w:spacing w:after="0" w:line="38"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29845</wp:posOffset>
            </wp:positionV>
            <wp:extent cx="1957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707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51"/>
              <w:spacing w:after="0"/>
              <w:rPr>
                <w:sz w:val="20"/>
                <w:szCs w:val="20"/>
                <w:color w:val="auto"/>
              </w:rPr>
            </w:pPr>
            <w:r>
              <w:rPr>
                <w:rFonts w:ascii="Arial" w:cs="Arial" w:eastAsia="Arial" w:hAnsi="Arial"/>
                <w:sz w:val="18"/>
                <w:szCs w:val="18"/>
                <w:b w:val="1"/>
                <w:bCs w:val="1"/>
                <w:color w:val="auto"/>
              </w:rPr>
              <w:t>2024</w:t>
            </w: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7"/>
        </w:trPr>
        <w:tc>
          <w:tcPr>
            <w:tcW w:w="8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56"/>
        </w:trPr>
        <w:tc>
          <w:tcPr>
            <w:tcW w:w="8160" w:type="dxa"/>
            <w:vAlign w:val="bottom"/>
          </w:tcPr>
          <w:p>
            <w:pPr>
              <w:ind w:left="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(2,199)</w:t>
            </w:r>
          </w:p>
        </w:tc>
        <w:tc>
          <w:tcPr>
            <w:tcW w:w="80" w:type="dxa"/>
            <w:vAlign w:val="bottom"/>
          </w:tcPr>
          <w:p>
            <w:pPr>
              <w:spacing w:after="0"/>
              <w:rPr>
                <w:sz w:val="22"/>
                <w:szCs w:val="22"/>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(6,899)</w:t>
            </w:r>
          </w:p>
        </w:tc>
      </w:tr>
      <w:tr>
        <w:trPr>
          <w:trHeight w:val="37"/>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8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56"/>
        </w:trPr>
        <w:tc>
          <w:tcPr>
            <w:tcW w:w="81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37"/>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56"/>
        </w:trPr>
        <w:tc>
          <w:tcPr>
            <w:tcW w:w="8160" w:type="dxa"/>
            <w:vAlign w:val="bottom"/>
          </w:tcPr>
          <w:p>
            <w:pPr>
              <w:ind w:left="240"/>
              <w:spacing w:after="0"/>
              <w:rPr>
                <w:sz w:val="20"/>
                <w:szCs w:val="20"/>
                <w:color w:val="auto"/>
              </w:rPr>
            </w:pPr>
            <w:r>
              <w:rPr>
                <w:rFonts w:ascii="Arial" w:cs="Arial" w:eastAsia="Arial" w:hAnsi="Arial"/>
                <w:sz w:val="18"/>
                <w:szCs w:val="18"/>
                <w:color w:val="auto"/>
              </w:rPr>
              <w:t>Bad debt reserve</w:t>
            </w:r>
          </w:p>
        </w:tc>
        <w:tc>
          <w:tcPr>
            <w:tcW w:w="3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7"/>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56"/>
        </w:trPr>
        <w:tc>
          <w:tcPr>
            <w:tcW w:w="8160" w:type="dxa"/>
            <w:vAlign w:val="bottom"/>
          </w:tcPr>
          <w:p>
            <w:pPr>
              <w:ind w:left="80"/>
              <w:spacing w:after="0"/>
              <w:rPr>
                <w:sz w:val="20"/>
                <w:szCs w:val="20"/>
                <w:color w:val="auto"/>
              </w:rPr>
            </w:pPr>
            <w:r>
              <w:rPr>
                <w:rFonts w:ascii="Arial" w:cs="Arial" w:eastAsia="Arial" w:hAnsi="Arial"/>
                <w:sz w:val="18"/>
                <w:szCs w:val="18"/>
                <w:color w:val="auto"/>
              </w:rPr>
              <w:t>Changes in:</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7"/>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r>
      <w:tr>
        <w:trPr>
          <w:trHeight w:val="256"/>
        </w:trPr>
        <w:tc>
          <w:tcPr>
            <w:tcW w:w="8160" w:type="dxa"/>
            <w:vAlign w:val="bottom"/>
          </w:tcPr>
          <w:p>
            <w:pPr>
              <w:ind w:left="1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37"/>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56"/>
        </w:trPr>
        <w:tc>
          <w:tcPr>
            <w:tcW w:w="8160" w:type="dxa"/>
            <w:vAlign w:val="bottom"/>
          </w:tcPr>
          <w:p>
            <w:pPr>
              <w:ind w:left="140"/>
              <w:spacing w:after="0"/>
              <w:rPr>
                <w:sz w:val="20"/>
                <w:szCs w:val="20"/>
                <w:color w:val="auto"/>
              </w:rPr>
            </w:pPr>
            <w:r>
              <w:rPr>
                <w:rFonts w:ascii="Arial" w:cs="Arial" w:eastAsia="Arial" w:hAnsi="Arial"/>
                <w:sz w:val="18"/>
                <w:szCs w:val="18"/>
                <w:color w:val="auto"/>
              </w:rPr>
              <w:t>Revenue share payable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(2,692)</w:t>
            </w:r>
          </w:p>
        </w:tc>
      </w:tr>
      <w:tr>
        <w:trPr>
          <w:trHeight w:val="37"/>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56"/>
        </w:trPr>
        <w:tc>
          <w:tcPr>
            <w:tcW w:w="8160" w:type="dxa"/>
            <w:vAlign w:val="bottom"/>
          </w:tcPr>
          <w:p>
            <w:pPr>
              <w:ind w:left="140"/>
              <w:spacing w:after="0"/>
              <w:rPr>
                <w:sz w:val="20"/>
                <w:szCs w:val="20"/>
                <w:color w:val="auto"/>
              </w:rPr>
            </w:pPr>
            <w:r>
              <w:rPr>
                <w:rFonts w:ascii="Arial" w:cs="Arial" w:eastAsia="Arial" w:hAnsi="Arial"/>
                <w:sz w:val="18"/>
                <w:szCs w:val="18"/>
                <w:color w:val="auto"/>
              </w:rPr>
              <w:t>Taxes receivable and payable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37"/>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37"/>
        </w:trPr>
        <w:tc>
          <w:tcPr>
            <w:tcW w:w="81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87"/>
        </w:trPr>
        <w:tc>
          <w:tcPr>
            <w:tcW w:w="8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127"/>
        </w:trPr>
        <w:tc>
          <w:tcPr>
            <w:tcW w:w="81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r>
      <w:tr>
        <w:trPr>
          <w:trHeight w:val="274"/>
        </w:trPr>
        <w:tc>
          <w:tcPr>
            <w:tcW w:w="8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CASH FLOWS USED IN INVESTING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56"/>
        </w:trPr>
        <w:tc>
          <w:tcPr>
            <w:tcW w:w="816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7"/>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59"/>
        </w:trPr>
        <w:tc>
          <w:tcPr>
            <w:tcW w:w="8160" w:type="dxa"/>
            <w:vAlign w:val="bottom"/>
          </w:tcPr>
          <w:p>
            <w:pPr>
              <w:ind w:left="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7"/>
        </w:trPr>
        <w:tc>
          <w:tcPr>
            <w:tcW w:w="8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66"/>
        </w:trPr>
        <w:tc>
          <w:tcPr>
            <w:tcW w:w="8160" w:type="dxa"/>
            <w:vAlign w:val="bottom"/>
          </w:tcPr>
          <w:p>
            <w:pPr>
              <w:ind w:left="80"/>
              <w:spacing w:after="0"/>
              <w:rPr>
                <w:sz w:val="20"/>
                <w:szCs w:val="20"/>
                <w:color w:val="auto"/>
              </w:rPr>
            </w:pPr>
            <w:r>
              <w:rPr>
                <w:rFonts w:ascii="Arial" w:cs="Arial" w:eastAsia="Arial" w:hAnsi="Arial"/>
                <w:sz w:val="18"/>
                <w:szCs w:val="18"/>
                <w:b w:val="1"/>
                <w:bCs w:val="1"/>
                <w:color w:val="auto"/>
              </w:rPr>
              <w:t>CASH FLOWS USED IN FINANCING ACTIVITIES: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employee withholding taxes related to the vesting of restricted stock units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56"/>
        </w:trPr>
        <w:tc>
          <w:tcPr>
            <w:tcW w:w="8160" w:type="dxa"/>
            <w:vAlign w:val="bottom"/>
          </w:tcPr>
          <w:p>
            <w:pPr>
              <w:ind w:left="80"/>
              <w:spacing w:after="0"/>
              <w:rPr>
                <w:sz w:val="20"/>
                <w:szCs w:val="20"/>
                <w:color w:val="auto"/>
              </w:rPr>
            </w:pPr>
            <w:r>
              <w:rPr>
                <w:rFonts w:ascii="Arial" w:cs="Arial" w:eastAsia="Arial" w:hAnsi="Arial"/>
                <w:sz w:val="18"/>
                <w:szCs w:val="18"/>
                <w:color w:val="auto"/>
              </w:rPr>
              <w:t>Repayment of long-term debt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37"/>
        </w:trPr>
        <w:tc>
          <w:tcPr>
            <w:tcW w:w="81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87"/>
        </w:trPr>
        <w:tc>
          <w:tcPr>
            <w:tcW w:w="8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59"/>
        </w:trPr>
        <w:tc>
          <w:tcPr>
            <w:tcW w:w="8160" w:type="dxa"/>
            <w:vAlign w:val="bottom"/>
          </w:tcPr>
          <w:p>
            <w:pPr>
              <w:ind w:left="80"/>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4"/>
        </w:trPr>
        <w:tc>
          <w:tcPr>
            <w:tcW w:w="8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r>
      <w:tr>
        <w:trPr>
          <w:trHeight w:val="287"/>
        </w:trPr>
        <w:tc>
          <w:tcPr>
            <w:tcW w:w="8160" w:type="dxa"/>
            <w:vAlign w:val="bottom"/>
          </w:tcPr>
          <w:p>
            <w:pPr>
              <w:ind w:left="80"/>
              <w:spacing w:after="0"/>
              <w:rPr>
                <w:sz w:val="20"/>
                <w:szCs w:val="20"/>
                <w:color w:val="auto"/>
              </w:rPr>
            </w:pPr>
            <w:r>
              <w:rPr>
                <w:rFonts w:ascii="Arial" w:cs="Arial" w:eastAsia="Arial" w:hAnsi="Arial"/>
                <w:sz w:val="18"/>
                <w:szCs w:val="18"/>
                <w:b w:val="1"/>
                <w:bCs w:val="1"/>
                <w:color w:val="auto"/>
              </w:rPr>
              <w:t>CASH AND CASH EQUIVALENTS - END OF PERIOD</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16,573</w:t>
            </w: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15,177</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4"/>
        </w:trPr>
        <w:tc>
          <w:tcPr>
            <w:tcW w:w="8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66"/>
        </w:trPr>
        <w:tc>
          <w:tcPr>
            <w:tcW w:w="8160" w:type="dxa"/>
            <w:vAlign w:val="bottom"/>
          </w:tcPr>
          <w:p>
            <w:pPr>
              <w:ind w:left="80"/>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13"/>
        </w:trPr>
        <w:tc>
          <w:tcPr>
            <w:tcW w:w="8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67"/>
        </w:trPr>
        <w:tc>
          <w:tcPr>
            <w:tcW w:w="8160" w:type="dxa"/>
            <w:vAlign w:val="bottom"/>
          </w:tcPr>
          <w:p>
            <w:pPr>
              <w:ind w:left="8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
        </w:trPr>
        <w:tc>
          <w:tcPr>
            <w:tcW w:w="8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r>
    </w:tbl>
    <w:p>
      <w:pPr>
        <w:sectPr>
          <w:pgSz w:w="11900" w:h="16838" w:orient="portrait"/>
          <w:cols w:equalWidth="0" w:num="1">
            <w:col w:w="11240"/>
          </w:cols>
          <w:pgMar w:left="320" w:top="1052" w:right="339" w:bottom="1440" w:gutter="0" w:footer="0" w:header="0"/>
        </w:sectPr>
      </w:pPr>
    </w:p>
    <w:bookmarkStart w:id="10" w:name="page11"/>
    <w:bookmarkEnd w:id="10"/>
    <w:p>
      <w:pPr>
        <w:ind w:left="4400"/>
        <w:spacing w:after="0"/>
        <w:rPr>
          <w:sz w:val="20"/>
          <w:szCs w:val="20"/>
          <w:color w:val="auto"/>
        </w:rPr>
      </w:pPr>
      <w:r>
        <w:rPr>
          <w:rFonts w:ascii="Arial" w:cs="Arial" w:eastAsia="Arial" w:hAnsi="Arial"/>
          <w:sz w:val="18"/>
          <w:szCs w:val="18"/>
          <w:b w:val="1"/>
          <w:bCs w:val="1"/>
          <w:color w:val="auto"/>
        </w:rPr>
        <w:t>OPTIMIZERX CORPORATION</w:t>
      </w:r>
    </w:p>
    <w:p>
      <w:pPr>
        <w:spacing w:after="0" w:line="3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17"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This earnings release includes certain financial measures not derived in accordance with generally accepted accounting principles (GAAP). These non-GAAP financial measures are measures of performance not defined by accounting principles generally accepted in the United States and should be considered in addition to, not in lieu of, GAAP reported measures. Additionally, these non-GAAP measures may not be comparable to similarly titled measures reported by other companies. However, management believes that presenting certain non-GAAP financial measures provides additional information to facilitate comparison of the Company's historical operating results and trends in its underlying operating results and provides transparency on how the Company evaluates its business. Management uses these non-GAAP financial measures in making financial, operating and planning decisions and in evaluating the Company's performance. Management believes that financial information excluding certain items that are not considered to reflect the Company’s ongoing operating results, such as those listed below, improves the comparability of year-to-year results. Consequently, management believes that investors may be able to better understand the Company’s operating results excluding these items. Non-GAAP financial measures may reflect adjustments for items such as asset impairment charges, amortization, stock-based compensation, acquisition expenses, severance, shareholder activist related fees, CEO search fees, other income, as well as other items that management believes are not related to the Company’s ongoing performance.</w:t>
      </w:r>
    </w:p>
    <w:p>
      <w:pPr>
        <w:spacing w:after="0" w:line="200" w:lineRule="exact"/>
        <w:rPr>
          <w:sz w:val="20"/>
          <w:szCs w:val="20"/>
          <w:color w:val="auto"/>
        </w:rPr>
      </w:pPr>
    </w:p>
    <w:p>
      <w:pPr>
        <w:spacing w:after="0" w:line="280" w:lineRule="exact"/>
        <w:rPr>
          <w:sz w:val="20"/>
          <w:szCs w:val="20"/>
          <w:color w:val="auto"/>
        </w:rPr>
      </w:pPr>
    </w:p>
    <w:tbl>
      <w:tblPr>
        <w:tblLayout w:type="fixed"/>
        <w:tblInd w:w="960" w:type="dxa"/>
        <w:tblCellMar>
          <w:top w:w="0" w:type="dxa"/>
          <w:left w:w="0" w:type="dxa"/>
          <w:bottom w:w="0" w:type="dxa"/>
          <w:right w:w="0" w:type="dxa"/>
        </w:tblCellMar>
      </w:tblPr>
      <w:tr>
        <w:trPr>
          <w:trHeight w:val="245"/>
        </w:trPr>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4"/>
          </w:tcPr>
          <w:p>
            <w:pPr>
              <w:jc w:val="right"/>
              <w:ind w:right="71"/>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491"/>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35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56"/>
        </w:trPr>
        <w:tc>
          <w:tcPr>
            <w:tcW w:w="730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7"/>
        </w:trPr>
        <w:tc>
          <w:tcPr>
            <w:tcW w:w="7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56"/>
        </w:trPr>
        <w:tc>
          <w:tcPr>
            <w:tcW w:w="7300" w:type="dxa"/>
            <w:vAlign w:val="bottom"/>
          </w:tcPr>
          <w:p>
            <w:pPr>
              <w:ind w:left="80"/>
              <w:spacing w:after="0"/>
              <w:rPr>
                <w:sz w:val="20"/>
                <w:szCs w:val="20"/>
                <w:color w:val="auto"/>
              </w:rPr>
            </w:pPr>
            <w:r>
              <w:rPr>
                <w:rFonts w:ascii="Arial" w:cs="Arial" w:eastAsia="Arial" w:hAnsi="Arial"/>
                <w:sz w:val="18"/>
                <w:szCs w:val="18"/>
                <w:color w:val="auto"/>
              </w:rPr>
              <w:t>Severance expenses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7"/>
        </w:trPr>
        <w:tc>
          <w:tcPr>
            <w:tcW w:w="7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Shareholder activist related fees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300" w:type="dxa"/>
            <w:vAlign w:val="bottom"/>
          </w:tcPr>
          <w:p>
            <w:pPr>
              <w:ind w:left="80"/>
              <w:spacing w:after="0"/>
              <w:rPr>
                <w:sz w:val="20"/>
                <w:szCs w:val="20"/>
                <w:color w:val="auto"/>
              </w:rPr>
            </w:pPr>
            <w:r>
              <w:rPr>
                <w:rFonts w:ascii="Arial" w:cs="Arial" w:eastAsia="Arial" w:hAnsi="Arial"/>
                <w:sz w:val="18"/>
                <w:szCs w:val="18"/>
                <w:color w:val="auto"/>
              </w:rPr>
              <w:t>CEO search fees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
        </w:trPr>
        <w:tc>
          <w:tcPr>
            <w:tcW w:w="7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300" w:type="dxa"/>
            <w:vAlign w:val="bottom"/>
          </w:tcPr>
          <w:p>
            <w:pPr>
              <w:ind w:left="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7"/>
        </w:trPr>
        <w:tc>
          <w:tcPr>
            <w:tcW w:w="7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Acquisition expenses</w:t>
            </w:r>
          </w:p>
        </w:tc>
        <w:tc>
          <w:tcPr>
            <w:tcW w:w="2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7300" w:type="dxa"/>
            <w:vAlign w:val="bottom"/>
          </w:tcPr>
          <w:p>
            <w:pPr>
              <w:ind w:left="80"/>
              <w:spacing w:after="0"/>
              <w:rPr>
                <w:sz w:val="20"/>
                <w:szCs w:val="20"/>
                <w:color w:val="auto"/>
              </w:rPr>
            </w:pPr>
            <w:r>
              <w:rPr>
                <w:rFonts w:ascii="Arial" w:cs="Arial" w:eastAsia="Arial" w:hAnsi="Arial"/>
                <w:sz w:val="18"/>
                <w:szCs w:val="18"/>
                <w:color w:val="auto"/>
              </w:rPr>
              <w:t>Non-GAAP net income (loss)</w:t>
            </w: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64"/>
        </w:trPr>
        <w:tc>
          <w:tcPr>
            <w:tcW w:w="73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300" w:type="dxa"/>
            <w:vAlign w:val="bottom"/>
          </w:tcPr>
          <w:p>
            <w:pPr>
              <w:ind w:left="80"/>
              <w:spacing w:after="0"/>
              <w:rPr>
                <w:sz w:val="20"/>
                <w:szCs w:val="20"/>
                <w:color w:val="auto"/>
              </w:rPr>
            </w:pPr>
            <w:r>
              <w:rPr>
                <w:rFonts w:ascii="Arial" w:cs="Arial" w:eastAsia="Arial" w:hAnsi="Arial"/>
                <w:sz w:val="18"/>
                <w:szCs w:val="18"/>
                <w:color w:val="auto"/>
              </w:rPr>
              <w:t>Non-GAAP net income (loss) per share</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73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9"/>
        </w:trPr>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18,579,012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18,170,10</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20" w:top="1335" w:right="239" w:bottom="1440" w:gutter="0" w:footer="0" w:header="0"/>
        </w:sectPr>
      </w:pPr>
    </w:p>
    <w:bookmarkStart w:id="11" w:name="page12"/>
    <w:bookmarkEnd w:id="11"/>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39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391"/>
              <w:spacing w:after="0"/>
              <w:rPr>
                <w:sz w:val="20"/>
                <w:szCs w:val="20"/>
                <w:color w:val="auto"/>
              </w:rPr>
            </w:pPr>
            <w:r>
              <w:rPr>
                <w:rFonts w:ascii="Arial" w:cs="Arial" w:eastAsia="Arial" w:hAnsi="Arial"/>
                <w:sz w:val="18"/>
                <w:szCs w:val="18"/>
                <w:b w:val="1"/>
                <w:bCs w:val="1"/>
                <w:color w:val="auto"/>
              </w:rPr>
              <w:t>2024</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7"/>
        </w:trPr>
        <w:tc>
          <w:tcPr>
            <w:tcW w:w="5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r>
      <w:tr>
        <w:trPr>
          <w:trHeight w:val="256"/>
        </w:trPr>
        <w:tc>
          <w:tcPr>
            <w:tcW w:w="554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4"/>
        </w:trPr>
        <w:tc>
          <w:tcPr>
            <w:tcW w:w="5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56"/>
        </w:trPr>
        <w:tc>
          <w:tcPr>
            <w:tcW w:w="5540" w:type="dxa"/>
            <w:vAlign w:val="bottom"/>
          </w:tcPr>
          <w:p>
            <w:pPr>
              <w:ind w:left="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4"/>
        </w:trPr>
        <w:tc>
          <w:tcPr>
            <w:tcW w:w="5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Severance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56"/>
        </w:trPr>
        <w:tc>
          <w:tcPr>
            <w:tcW w:w="5540" w:type="dxa"/>
            <w:vAlign w:val="bottom"/>
          </w:tcPr>
          <w:p>
            <w:pPr>
              <w:ind w:left="60"/>
              <w:spacing w:after="0"/>
              <w:rPr>
                <w:sz w:val="20"/>
                <w:szCs w:val="20"/>
                <w:color w:val="auto"/>
              </w:rPr>
            </w:pPr>
            <w:r>
              <w:rPr>
                <w:rFonts w:ascii="Arial" w:cs="Arial" w:eastAsia="Arial" w:hAnsi="Arial"/>
                <w:sz w:val="18"/>
                <w:szCs w:val="18"/>
                <w:color w:val="auto"/>
              </w:rPr>
              <w:t>Acquisition expenses</w:t>
            </w:r>
          </w:p>
        </w:tc>
        <w:tc>
          <w:tcPr>
            <w:tcW w:w="2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4"/>
        </w:trPr>
        <w:tc>
          <w:tcPr>
            <w:tcW w:w="5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Shareholder activist related fees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540" w:type="dxa"/>
            <w:vAlign w:val="bottom"/>
          </w:tcPr>
          <w:p>
            <w:pPr>
              <w:ind w:left="60"/>
              <w:spacing w:after="0"/>
              <w:rPr>
                <w:sz w:val="20"/>
                <w:szCs w:val="20"/>
                <w:color w:val="auto"/>
              </w:rPr>
            </w:pPr>
            <w:r>
              <w:rPr>
                <w:rFonts w:ascii="Arial" w:cs="Arial" w:eastAsia="Arial" w:hAnsi="Arial"/>
                <w:sz w:val="18"/>
                <w:szCs w:val="18"/>
                <w:color w:val="auto"/>
              </w:rPr>
              <w:t>CEO search fees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
        </w:trPr>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4"/>
        </w:trPr>
        <w:tc>
          <w:tcPr>
            <w:tcW w:w="5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540" w:type="dxa"/>
            <w:vAlign w:val="bottom"/>
          </w:tcPr>
          <w:p>
            <w:pPr>
              <w:ind w:left="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1,526</w:t>
            </w:r>
          </w:p>
        </w:tc>
      </w:tr>
      <w:tr>
        <w:trPr>
          <w:trHeight w:val="37"/>
        </w:trPr>
        <w:tc>
          <w:tcPr>
            <w:tcW w:w="5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92"/>
        </w:trPr>
        <w:tc>
          <w:tcPr>
            <w:tcW w:w="5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260"/>
      </w:cols>
      <w:pgMar w:left="1440" w:top="1335"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2025-05-12T15:22:07Z</dcterms:created>
  <dcterms:modified xsi:type="dcterms:W3CDTF">2025-05-12T15:22:07Z</dcterms:modified>
</cp:coreProperties>
</file>