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68401U204</w:t>
      </w:r>
    </w:p>
    <w:p>
      <w:pPr>
        <w:spacing w:after="0" w:line="4" w:lineRule="exact"/>
        <w:rPr>
          <w:sz w:val="24"/>
          <w:szCs w:val="24"/>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952,027**</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952,027**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6" w:lineRule="exact"/>
        <w:rPr>
          <w:sz w:val="24"/>
          <w:szCs w:val="24"/>
          <w:color w:val="auto"/>
        </w:rPr>
      </w:pPr>
    </w:p>
    <w:p>
      <w:pPr>
        <w:ind w:right="2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6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38" w:orient="portrait"/>
          <w:cols w:equalWidth="0" w:num="1">
            <w:col w:w="10219"/>
          </w:cols>
          <w:pgMar w:left="240" w:top="244" w:right="1440" w:bottom="0" w:gutter="0" w:footer="0" w:header="0"/>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213,108 Shares of Common Stock of the Issuer (the Shares) held by CAYMAN, 562,508 Shares of Common Stock held by SSFQP and 176,411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400 Water Street-Suite 200, Rochester, MI 48307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68401U204</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952,027**</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6.7%**</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952,027**</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952,027**</w:t>
      </w:r>
    </w:p>
    <w:p>
      <w:pPr>
        <w:spacing w:after="0" w:line="207"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099" w:firstLine="8"/>
        <w:spacing w:after="0" w:line="279"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213,108 Shares of Common Stock of the Issuer (the Shares) held by CAYMAN, 562,508</w:t>
      </w:r>
    </w:p>
    <w:p>
      <w:pPr>
        <w:sectPr>
          <w:pgSz w:w="11900" w:h="16838" w:orient="portrait"/>
          <w:cols w:equalWidth="0" w:num="1">
            <w:col w:w="10219"/>
          </w:cols>
          <w:pgMar w:left="240" w:top="142" w:right="1440" w:bottom="0" w:gutter="0" w:footer="0" w:header="0"/>
        </w:sectPr>
      </w:pPr>
    </w:p>
    <w:bookmarkStart w:id="2" w:name="page3"/>
    <w:bookmarkEnd w:id="2"/>
    <w:p>
      <w:pPr>
        <w:ind w:right="2199"/>
        <w:spacing w:after="0" w:line="237" w:lineRule="auto"/>
        <w:rPr>
          <w:sz w:val="20"/>
          <w:szCs w:val="20"/>
          <w:color w:val="auto"/>
        </w:rPr>
      </w:pPr>
      <w:r>
        <w:rPr>
          <w:rFonts w:ascii="Courier New" w:cs="Courier New" w:eastAsia="Courier New" w:hAnsi="Courier New"/>
          <w:sz w:val="18"/>
          <w:szCs w:val="18"/>
          <w:color w:val="auto"/>
        </w:rPr>
        <w:t>Shares of Common Stock held by SSFQP and 176,411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Adam Stettner</w:t>
      </w:r>
    </w:p>
    <w:p>
      <w:pPr>
        <w:ind w:left="860"/>
        <w:spacing w:after="0" w:line="238" w:lineRule="auto"/>
        <w:rPr>
          <w:sz w:val="20"/>
          <w:szCs w:val="20"/>
          <w:color w:val="auto"/>
        </w:rPr>
      </w:pPr>
      <w:r>
        <w:rPr>
          <w:rFonts w:ascii="Courier New" w:cs="Courier New" w:eastAsia="Courier New" w:hAnsi="Courier New"/>
          <w:sz w:val="18"/>
          <w:szCs w:val="18"/>
          <w:color w:val="auto"/>
        </w:rPr>
        <w:t>Name: Adam Stettner</w:t>
      </w:r>
    </w:p>
    <w:p>
      <w:pPr>
        <w:ind w:left="86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2020-02-12T12:29:20Z</dcterms:created>
  <dcterms:modified xsi:type="dcterms:W3CDTF">2020-02-12T12:29:20Z</dcterms:modified>
</cp:coreProperties>
</file>