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OptimizeRx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68401U204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68401U204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SAMJO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68401U204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ANDREW N. WIENER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OptimizeRx Corporation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260 Charles Street, Suite 302, Waltham, MA 02453, United States of America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Samjo Management, LLC Andrew N. Wiener</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left="920" w:hanging="912"/>
        <w:spacing w:after="0" w:line="24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Samjo Management, LLC 880 Third Avenue, 16th Floor New York, New York 10022 United States of America Andrew N. Wiener c/o Samjo Management, LLC 880 Third Avenue, 16th Floor New York, New York 10022 United States of America</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right="3800"/>
        <w:spacing w:after="0" w:line="256" w:lineRule="auto"/>
        <w:rPr>
          <w:sz w:val="20"/>
          <w:szCs w:val="20"/>
          <w:color w:val="auto"/>
        </w:rPr>
      </w:pPr>
      <w:r>
        <w:rPr>
          <w:rFonts w:ascii="Times New Roman" w:cs="Times New Roman" w:eastAsia="Times New Roman" w:hAnsi="Times New Roman"/>
          <w:sz w:val="22"/>
          <w:szCs w:val="22"/>
          <w:color w:val="auto"/>
        </w:rPr>
        <w:t>Samjo Management, LLC - Delaware Andrew N. Wiener - United States Title of class of securities:</w:t>
      </w:r>
    </w:p>
    <w:p>
      <w:pPr>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Common Stock, par value $0.001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68401U204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54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Samjo Management, LLC - 50 Andrew N. Wiener - 50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Samjo Management, LLC - 0.0% Andrew N. Wiener - 0.0%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000"/>
          </w:cols>
          <w:pgMar w:left="360" w:top="126" w:right="539" w:bottom="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Samjo Management, LLC - 0 Andrew N. Wiener - 0</w:t>
      </w:r>
    </w:p>
    <w:p>
      <w:pPr>
        <w:spacing w:after="0" w:line="287" w:lineRule="exact"/>
        <w:rPr>
          <w:sz w:val="20"/>
          <w:szCs w:val="20"/>
          <w:color w:val="auto"/>
        </w:rPr>
      </w:pPr>
    </w:p>
    <w:p>
      <w:pPr>
        <w:ind w:right="5700" w:firstLine="6"/>
        <w:spacing w:after="0" w:line="509" w:lineRule="auto"/>
        <w:tabs>
          <w:tab w:leader="none" w:pos="318"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Samjo Management, LLC - 0 Andrew N. Wiener - 0</w:t>
      </w:r>
    </w:p>
    <w:p>
      <w:pPr>
        <w:spacing w:after="0" w:line="1" w:lineRule="exact"/>
        <w:rPr>
          <w:rFonts w:ascii="Times New Roman" w:cs="Times New Roman" w:eastAsia="Times New Roman" w:hAnsi="Times New Roman"/>
          <w:sz w:val="21"/>
          <w:szCs w:val="21"/>
          <w:color w:val="auto"/>
        </w:rPr>
      </w:pPr>
    </w:p>
    <w:p>
      <w:pPr>
        <w:ind w:right="5320" w:firstLine="6"/>
        <w:spacing w:after="0" w:line="509" w:lineRule="auto"/>
        <w:tabs>
          <w:tab w:leader="none" w:pos="378"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Samjo Management, LLC - 0 Andrew N. Wiener - 0</w:t>
      </w:r>
    </w:p>
    <w:p>
      <w:pPr>
        <w:spacing w:after="0" w:line="1" w:lineRule="exact"/>
        <w:rPr>
          <w:rFonts w:ascii="Times New Roman" w:cs="Times New Roman" w:eastAsia="Times New Roman" w:hAnsi="Times New Roman"/>
          <w:sz w:val="21"/>
          <w:szCs w:val="21"/>
          <w:color w:val="auto"/>
        </w:rPr>
      </w:pPr>
    </w:p>
    <w:p>
      <w:pPr>
        <w:ind w:right="5120" w:firstLine="6"/>
        <w:spacing w:after="0" w:line="509" w:lineRule="auto"/>
        <w:tabs>
          <w:tab w:leader="none" w:pos="366"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 Samjo Management, LLC - 50 Andrew N. Wiener - 50</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All of the securities reported in this Schedule 13G Amendment No. 1 are directly owned by advisory clients of Samjo Management, LLC. None of those advisory clients may be deemed to beneficially own more than 5% of the Common Stock, par value $0.001.</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Please see Exhibit B attached hereto.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901" w:orient="portrait"/>
          <w:cols w:equalWidth="0" w:num="2">
            <w:col w:w="720" w:space="200"/>
            <w:col w:w="10220"/>
          </w:cols>
          <w:pgMar w:left="360" w:top="112" w:right="399" w:bottom="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SAMJO MANAGEMENT, LLC</w:t>
      </w:r>
    </w:p>
    <w:p>
      <w:pPr>
        <w:spacing w:after="0" w:line="152" w:lineRule="exact"/>
        <w:rPr>
          <w:sz w:val="20"/>
          <w:szCs w:val="20"/>
          <w:color w:val="auto"/>
        </w:rPr>
      </w:pPr>
    </w:p>
    <w:p>
      <w:pPr>
        <w:ind w:left="4680"/>
        <w:spacing w:after="0"/>
        <w:tabs>
          <w:tab w:leader="none" w:pos="5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Andrew N. Wiener</w:t>
      </w:r>
    </w:p>
    <w:p>
      <w:pPr>
        <w:spacing w:after="0" w:line="44"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Name/Title: Andrew N. Wiener, Managing Member</w:t>
      </w:r>
    </w:p>
    <w:p>
      <w:pPr>
        <w:spacing w:after="0" w:line="44" w:lineRule="exact"/>
        <w:rPr>
          <w:sz w:val="20"/>
          <w:szCs w:val="20"/>
          <w:color w:val="auto"/>
        </w:rPr>
      </w:pPr>
    </w:p>
    <w:p>
      <w:pPr>
        <w:ind w:left="4680"/>
        <w:spacing w:after="0"/>
        <w:tabs>
          <w:tab w:leader="none" w:pos="5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02/13/2025</w:t>
      </w:r>
    </w:p>
    <w:p>
      <w:pPr>
        <w:spacing w:after="0" w:line="152"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ANDREW N. WIENER</w:t>
      </w:r>
    </w:p>
    <w:p>
      <w:pPr>
        <w:spacing w:after="0" w:line="152" w:lineRule="exact"/>
        <w:rPr>
          <w:sz w:val="20"/>
          <w:szCs w:val="20"/>
          <w:color w:val="auto"/>
        </w:rPr>
      </w:pPr>
    </w:p>
    <w:p>
      <w:pPr>
        <w:ind w:left="3180"/>
        <w:spacing w:after="0"/>
        <w:tabs>
          <w:tab w:leader="none" w:pos="4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Andrew N. Wiener</w:t>
      </w:r>
    </w:p>
    <w:p>
      <w:pPr>
        <w:spacing w:after="0" w:line="44"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Name/Title: Andrew N. Wiener</w:t>
      </w:r>
    </w:p>
    <w:p>
      <w:pPr>
        <w:sectPr>
          <w:pgSz w:w="11900" w:h="16901" w:orient="portrait"/>
          <w:cols w:equalWidth="0" w:num="1">
            <w:col w:w="11140"/>
          </w:cols>
          <w:pgMar w:left="360" w:top="112" w:right="399" w:bottom="0" w:gutter="0" w:footer="0" w:header="0"/>
          <w:type w:val="continuous"/>
        </w:sectPr>
      </w:pPr>
    </w:p>
    <w:bookmarkStart w:id="4" w:name="page5"/>
    <w:bookmarkEnd w:id="4"/>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02/13/2025</w:t>
      </w:r>
    </w:p>
    <w:p>
      <w:pPr>
        <w:spacing w:after="0" w:line="31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 Each Reporting Person disclaims beneficial ownership of the reported securities except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the extent of his, her or its pecuniary interest therein, and this report shall not be deemed an admission that such Reporting Person is the beneficial owner of the securities for purposes of Section 16 of the Securities Exchange Act of 1934, as amended, or for any other purpose. To the extent that "ownership of 5 percent or less of a class" was indicated in Item 5, such response only applies to the Reporting Person(s) that indicated elsewhere herein that it beneficially owns five percent (5%) or less of the class.</w:t>
      </w:r>
    </w:p>
    <w:p>
      <w:pPr>
        <w:spacing w:after="0" w:line="1" w:lineRule="exact"/>
        <w:rPr>
          <w:sz w:val="20"/>
          <w:szCs w:val="20"/>
          <w:color w:val="auto"/>
        </w:rPr>
      </w:pPr>
    </w:p>
    <w:p>
      <w:pPr>
        <w:jc w:val="center"/>
        <w:ind w:right="45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Exhibit A - Joint Filing Agreement Exhibit B - Control Person Identification</w:t>
      </w:r>
    </w:p>
    <w:p>
      <w:pPr>
        <w:sectPr>
          <w:pgSz w:w="11900" w:h="16838" w:orient="portrait"/>
          <w:cols w:equalWidth="0" w:num="1">
            <w:col w:w="11220"/>
          </w:cols>
          <w:pgMar w:left="320" w:top="166" w:right="35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0"/>
          <w:szCs w:val="20"/>
          <w:u w:val="single" w:color="auto"/>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JOINT FILING AGREEMENT</w:t>
      </w:r>
    </w:p>
    <w:p>
      <w:pPr>
        <w:spacing w:after="0" w:line="216"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The undersigned agree that this Schedule 13G Amendment No. 1 dated February 13, 2025 relating to the Common Stock, par value $0.001, of OptimizeRx Corporation shall be filed on behalf of the undersigned.</w:t>
      </w:r>
    </w:p>
    <w:p>
      <w:pPr>
        <w:spacing w:after="0" w:line="15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SAMJO MANAGEMENT, LLC</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Andrew N. Wiener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Andrew N. Wiener</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ANDREW N. WIENER</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Andrew N. Wiener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0"/>
          <w:szCs w:val="20"/>
          <w:u w:val="single" w:color="auto"/>
          <w:color w:val="auto"/>
        </w:rPr>
        <w:t>Exhibit B</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CONTROL PERSON IDENTIFICATION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Samjo Management, LLC is the relevant entity for which Andrew N. Wiener may be considered a control person.</w:t>
      </w:r>
    </w:p>
    <w:sectPr>
      <w:pgSz w:w="11900" w:h="16838" w:orient="portrait"/>
      <w:cols w:equalWidth="0" w:num="1">
        <w:col w:w="11240"/>
      </w:cols>
      <w:pgMar w:left="320" w:top="84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2025-02-13T09:45:48Z</dcterms:created>
  <dcterms:modified xsi:type="dcterms:W3CDTF">2025-02-13T09:45:48Z</dcterms:modified>
</cp:coreProperties>
</file>