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40" w:type="dxa"/>
            <w:vAlign w:val="bottom"/>
            <w:gridSpan w:val="6"/>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AWM Investment Company, Inc.</w:t>
              </w:r>
            </w:hyperlink>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58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OptimizeRx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OPRX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4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40" w:type="dxa"/>
            <w:vAlign w:val="bottom"/>
            <w:gridSpan w:val="6"/>
            <w:vMerge w:val="continu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restart"/>
          </w:tcPr>
          <w:p>
            <w:pPr>
              <w:ind w:left="440"/>
              <w:spacing w:after="0"/>
              <w:rPr>
                <w:sz w:val="20"/>
                <w:szCs w:val="20"/>
                <w:color w:val="auto"/>
              </w:rPr>
            </w:pPr>
            <w:r>
              <w:rPr>
                <w:rFonts w:ascii="Arial" w:cs="Arial" w:eastAsia="Arial" w:hAnsi="Arial"/>
                <w:sz w:val="14"/>
                <w:szCs w:val="14"/>
                <w:color w:val="auto"/>
              </w:rPr>
              <w:t>Director</w:t>
            </w:r>
          </w:p>
        </w:tc>
        <w:tc>
          <w:tcPr>
            <w:tcW w:w="440" w:type="dxa"/>
            <w:vAlign w:val="bottom"/>
          </w:tcPr>
          <w:p>
            <w:pPr>
              <w:spacing w:after="0"/>
              <w:rPr>
                <w:sz w:val="2"/>
                <w:szCs w:val="2"/>
                <w:color w:val="auto"/>
              </w:rPr>
            </w:pP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40" w:type="dxa"/>
            <w:vAlign w:val="bottom"/>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480" w:type="dxa"/>
            <w:vAlign w:val="bottom"/>
            <w:gridSpan w:val="3"/>
            <w:vMerge w:val="restart"/>
          </w:tcPr>
          <w:p>
            <w:pPr>
              <w:ind w:left="440"/>
              <w:spacing w:after="0"/>
              <w:rPr>
                <w:sz w:val="20"/>
                <w:szCs w:val="20"/>
                <w:color w:val="auto"/>
              </w:rPr>
            </w:pPr>
            <w:r>
              <w:rPr>
                <w:rFonts w:ascii="Arial" w:cs="Arial" w:eastAsia="Arial" w:hAnsi="Arial"/>
                <w:sz w:val="14"/>
                <w:szCs w:val="14"/>
                <w:color w:val="auto"/>
              </w:rPr>
              <w:t>Officer (give title</w:t>
            </w:r>
          </w:p>
        </w:tc>
        <w:tc>
          <w:tcPr>
            <w:tcW w:w="500" w:type="dxa"/>
            <w:vAlign w:val="bottom"/>
          </w:tcPr>
          <w:p>
            <w:pPr>
              <w:spacing w:after="0"/>
              <w:rPr>
                <w:sz w:val="7"/>
                <w:szCs w:val="7"/>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8"/>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00" w:type="dxa"/>
            <w:vAlign w:val="bottom"/>
            <w:gridSpan w:val="2"/>
          </w:tcPr>
          <w:p>
            <w:pPr>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8"/>
            <w:vMerge w:val="continue"/>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440"/>
              <w:spacing w:after="0"/>
              <w:rPr>
                <w:sz w:val="20"/>
                <w:szCs w:val="20"/>
                <w:color w:val="auto"/>
              </w:rPr>
            </w:pPr>
            <w:r>
              <w:rPr>
                <w:rFonts w:ascii="Arial" w:cs="Arial" w:eastAsia="Arial" w:hAnsi="Arial"/>
                <w:sz w:val="14"/>
                <w:szCs w:val="14"/>
                <w:color w:val="auto"/>
              </w:rPr>
              <w:t>below)</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527 MADISON AVENUE</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gridSpan w:val="5"/>
          </w:tcPr>
          <w:p>
            <w:pPr>
              <w:ind w:left="220"/>
              <w:spacing w:after="0"/>
              <w:rPr>
                <w:sz w:val="20"/>
                <w:szCs w:val="20"/>
                <w:color w:val="auto"/>
              </w:rPr>
            </w:pPr>
            <w:r>
              <w:rPr>
                <w:rFonts w:ascii="Arial" w:cs="Arial" w:eastAsia="Arial" w:hAnsi="Arial"/>
                <w:sz w:val="18"/>
                <w:szCs w:val="18"/>
                <w:color w:val="0000FF"/>
                <w:w w:val="95"/>
              </w:rPr>
              <w:t>05/09/2019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2600</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1"/>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80" w:type="dxa"/>
            <w:vAlign w:val="bottom"/>
            <w:gridSpan w:val="11"/>
            <w:vMerge w:val="continue"/>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gridSpan w:val="7"/>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460"/>
              <w:spacing w:after="0" w:line="136" w:lineRule="exact"/>
              <w:rPr>
                <w:sz w:val="20"/>
                <w:szCs w:val="20"/>
                <w:color w:val="auto"/>
              </w:rPr>
            </w:pPr>
            <w:r>
              <w:rPr>
                <w:rFonts w:ascii="Arial" w:cs="Arial" w:eastAsia="Arial" w:hAnsi="Arial"/>
                <w:sz w:val="14"/>
                <w:szCs w:val="14"/>
                <w:color w:val="auto"/>
              </w:rPr>
              <w:t>Person</w:t>
            </w: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gridSpan w:val="2"/>
          </w:tcPr>
          <w:p>
            <w:pPr>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gridSpan w:val="3"/>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jc w:val="center"/>
              <w:ind w:left="4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4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260" w:type="dxa"/>
            <w:vAlign w:val="bottom"/>
          </w:tcPr>
          <w:p>
            <w:pPr>
              <w:spacing w:after="0"/>
              <w:rPr>
                <w:sz w:val="11"/>
                <w:szCs w:val="11"/>
                <w:color w:val="auto"/>
              </w:rPr>
            </w:pP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w:t>
            </w:r>
          </w:p>
        </w:tc>
        <w:tc>
          <w:tcPr>
            <w:tcW w:w="50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Indirect (I)</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9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(A) or</w:t>
            </w:r>
          </w:p>
        </w:tc>
        <w:tc>
          <w:tcPr>
            <w:tcW w:w="980" w:type="dxa"/>
            <w:vAlign w:val="bottom"/>
            <w:gridSpan w:val="3"/>
          </w:tcPr>
          <w:p>
            <w:pPr>
              <w:ind w:left="80"/>
              <w:spacing w:after="0"/>
              <w:rPr>
                <w:sz w:val="20"/>
                <w:szCs w:val="20"/>
                <w:color w:val="auto"/>
              </w:rPr>
            </w:pPr>
            <w:r>
              <w:rPr>
                <w:rFonts w:ascii="Arial" w:cs="Arial" w:eastAsia="Arial" w:hAnsi="Arial"/>
                <w:sz w:val="12"/>
                <w:szCs w:val="12"/>
                <w:b w:val="1"/>
                <w:bCs w:val="1"/>
                <w:color w:val="auto"/>
              </w:rPr>
              <w:t>Price</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Transaction(s)</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w w:val="99"/>
              </w:rPr>
              <w:t>(Instr. 3 and 4)</w:t>
            </w:r>
          </w:p>
        </w:tc>
        <w:tc>
          <w:tcPr>
            <w:tcW w:w="2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05/09/2019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vMerge w:val="restart"/>
          </w:tcPr>
          <w:p>
            <w:pPr>
              <w:ind w:left="160"/>
              <w:spacing w:after="0"/>
              <w:rPr>
                <w:sz w:val="20"/>
                <w:szCs w:val="20"/>
                <w:color w:val="auto"/>
              </w:rPr>
            </w:pPr>
            <w:r>
              <w:rPr>
                <w:rFonts w:ascii="Arial" w:cs="Arial" w:eastAsia="Arial" w:hAnsi="Arial"/>
                <w:sz w:val="14"/>
                <w:szCs w:val="14"/>
                <w:color w:val="0000FF"/>
              </w:rPr>
              <w:t>S</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vMerge w:val="restart"/>
          </w:tcPr>
          <w:p>
            <w:pPr>
              <w:jc w:val="center"/>
              <w:ind w:right="12"/>
              <w:spacing w:after="0"/>
              <w:rPr>
                <w:sz w:val="20"/>
                <w:szCs w:val="20"/>
                <w:color w:val="auto"/>
              </w:rPr>
            </w:pPr>
            <w:r>
              <w:rPr>
                <w:rFonts w:ascii="Arial" w:cs="Arial" w:eastAsia="Arial" w:hAnsi="Arial"/>
                <w:sz w:val="18"/>
                <w:szCs w:val="18"/>
                <w:color w:val="0000FF"/>
                <w:w w:val="87"/>
              </w:rPr>
              <w:t>50,000</w:t>
            </w:r>
          </w:p>
        </w:tc>
        <w:tc>
          <w:tcPr>
            <w:tcW w:w="4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vMerge w:val="restart"/>
          </w:tcPr>
          <w:p>
            <w:pPr>
              <w:ind w:left="80"/>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13.5719</w:t>
            </w:r>
            <w:r>
              <w:rPr>
                <w:rFonts w:ascii="Arial" w:cs="Arial" w:eastAsia="Arial" w:hAnsi="Arial"/>
                <w:sz w:val="22"/>
                <w:szCs w:val="22"/>
                <w:color w:val="008000"/>
                <w:w w:val="85"/>
                <w:vertAlign w:val="superscript"/>
              </w:rPr>
              <w:t>(1)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1,296,528</w:t>
            </w:r>
          </w:p>
        </w:tc>
        <w:tc>
          <w:tcPr>
            <w:tcW w:w="440" w:type="dxa"/>
            <w:vAlign w:val="bottom"/>
          </w:tcPr>
          <w:p>
            <w:pPr>
              <w:spacing w:after="0"/>
              <w:rPr>
                <w:sz w:val="22"/>
                <w:szCs w:val="22"/>
                <w:color w:val="auto"/>
              </w:rPr>
            </w:pPr>
          </w:p>
        </w:tc>
        <w:tc>
          <w:tcPr>
            <w:tcW w:w="50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rPr>
              <w:t>By Limited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05/10/2019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vMerge w:val="restart"/>
          </w:tcPr>
          <w:p>
            <w:pPr>
              <w:ind w:left="160"/>
              <w:spacing w:after="0"/>
              <w:rPr>
                <w:sz w:val="20"/>
                <w:szCs w:val="20"/>
                <w:color w:val="auto"/>
              </w:rPr>
            </w:pPr>
            <w:r>
              <w:rPr>
                <w:rFonts w:ascii="Arial" w:cs="Arial" w:eastAsia="Arial" w:hAnsi="Arial"/>
                <w:sz w:val="14"/>
                <w:szCs w:val="14"/>
                <w:color w:val="0000FF"/>
              </w:rPr>
              <w:t>S</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vMerge w:val="restart"/>
          </w:tcPr>
          <w:p>
            <w:pPr>
              <w:jc w:val="center"/>
              <w:ind w:right="12"/>
              <w:spacing w:after="0"/>
              <w:rPr>
                <w:sz w:val="20"/>
                <w:szCs w:val="20"/>
                <w:color w:val="auto"/>
              </w:rPr>
            </w:pPr>
            <w:r>
              <w:rPr>
                <w:rFonts w:ascii="Arial" w:cs="Arial" w:eastAsia="Arial" w:hAnsi="Arial"/>
                <w:sz w:val="18"/>
                <w:szCs w:val="18"/>
                <w:color w:val="0000FF"/>
                <w:w w:val="87"/>
              </w:rPr>
              <w:t>25,000</w:t>
            </w:r>
          </w:p>
        </w:tc>
        <w:tc>
          <w:tcPr>
            <w:tcW w:w="4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vMerge w:val="restart"/>
          </w:tcPr>
          <w:p>
            <w:pPr>
              <w:ind w:left="80"/>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13.7554</w:t>
            </w:r>
            <w:r>
              <w:rPr>
                <w:rFonts w:ascii="Arial" w:cs="Arial" w:eastAsia="Arial" w:hAnsi="Arial"/>
                <w:sz w:val="22"/>
                <w:szCs w:val="22"/>
                <w:color w:val="008000"/>
                <w:w w:val="85"/>
                <w:vertAlign w:val="superscript"/>
              </w:rPr>
              <w:t>(1)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1,271,528</w:t>
            </w:r>
          </w:p>
        </w:tc>
        <w:tc>
          <w:tcPr>
            <w:tcW w:w="440" w:type="dxa"/>
            <w:vAlign w:val="bottom"/>
          </w:tcPr>
          <w:p>
            <w:pPr>
              <w:spacing w:after="0"/>
              <w:rPr>
                <w:sz w:val="22"/>
                <w:szCs w:val="22"/>
                <w:color w:val="auto"/>
              </w:rPr>
            </w:pPr>
          </w:p>
        </w:tc>
        <w:tc>
          <w:tcPr>
            <w:tcW w:w="500" w:type="dxa"/>
            <w:vAlign w:val="bottom"/>
            <w:vMerge w:val="restart"/>
          </w:tcPr>
          <w:p>
            <w:pPr>
              <w:spacing w:after="0"/>
              <w:rPr>
                <w:sz w:val="20"/>
                <w:szCs w:val="20"/>
                <w:color w:val="auto"/>
              </w:rPr>
            </w:pPr>
            <w:r>
              <w:rPr>
                <w:rFonts w:ascii="Arial" w:cs="Arial" w:eastAsia="Arial" w:hAnsi="Arial"/>
                <w:sz w:val="18"/>
                <w:szCs w:val="18"/>
                <w:color w:val="0000FF"/>
              </w:rPr>
              <w:t>I</w:t>
            </w: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rPr>
              <w:t>By Limited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05/13/2019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vMerge w:val="restart"/>
          </w:tcPr>
          <w:p>
            <w:pPr>
              <w:ind w:left="160"/>
              <w:spacing w:after="0"/>
              <w:rPr>
                <w:sz w:val="20"/>
                <w:szCs w:val="20"/>
                <w:color w:val="auto"/>
              </w:rPr>
            </w:pPr>
            <w:r>
              <w:rPr>
                <w:rFonts w:ascii="Arial" w:cs="Arial" w:eastAsia="Arial" w:hAnsi="Arial"/>
                <w:sz w:val="14"/>
                <w:szCs w:val="14"/>
                <w:color w:val="0000FF"/>
              </w:rPr>
              <w:t>S</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vMerge w:val="restart"/>
          </w:tcPr>
          <w:p>
            <w:pPr>
              <w:jc w:val="center"/>
              <w:ind w:right="32"/>
              <w:spacing w:after="0"/>
              <w:rPr>
                <w:sz w:val="20"/>
                <w:szCs w:val="20"/>
                <w:color w:val="auto"/>
              </w:rPr>
            </w:pPr>
            <w:r>
              <w:rPr>
                <w:rFonts w:ascii="Arial" w:cs="Arial" w:eastAsia="Arial" w:hAnsi="Arial"/>
                <w:sz w:val="35"/>
                <w:szCs w:val="35"/>
                <w:color w:val="0000FF"/>
                <w:w w:val="77"/>
                <w:vertAlign w:val="subscript"/>
              </w:rPr>
              <w:t>7,126</w:t>
            </w:r>
            <w:r>
              <w:rPr>
                <w:rFonts w:ascii="Arial" w:cs="Arial" w:eastAsia="Arial" w:hAnsi="Arial"/>
                <w:sz w:val="11"/>
                <w:szCs w:val="11"/>
                <w:color w:val="008000"/>
                <w:w w:val="77"/>
              </w:rPr>
              <w:t>(2)(3)</w:t>
            </w:r>
          </w:p>
        </w:tc>
        <w:tc>
          <w:tcPr>
            <w:tcW w:w="42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00" w:type="dxa"/>
            <w:vAlign w:val="bottom"/>
            <w:vMerge w:val="restart"/>
          </w:tcPr>
          <w:p>
            <w:pPr>
              <w:ind w:left="80"/>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13.7166</w:t>
            </w:r>
            <w:r>
              <w:rPr>
                <w:rFonts w:ascii="Arial" w:cs="Arial" w:eastAsia="Arial" w:hAnsi="Arial"/>
                <w:sz w:val="22"/>
                <w:szCs w:val="22"/>
                <w:color w:val="008000"/>
                <w:w w:val="85"/>
                <w:vertAlign w:val="superscript"/>
              </w:rPr>
              <w:t>(1)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2"/>
              </w:rPr>
              <w:t>1,264,402</w:t>
            </w:r>
            <w:r>
              <w:rPr>
                <w:rFonts w:ascii="Arial" w:cs="Arial" w:eastAsia="Arial" w:hAnsi="Arial"/>
                <w:sz w:val="22"/>
                <w:szCs w:val="22"/>
                <w:color w:val="008000"/>
                <w:w w:val="82"/>
                <w:vertAlign w:val="superscript"/>
              </w:rPr>
              <w:t>(2)(3)</w:t>
            </w:r>
          </w:p>
        </w:tc>
        <w:tc>
          <w:tcPr>
            <w:tcW w:w="940" w:type="dxa"/>
            <w:vAlign w:val="bottom"/>
            <w:gridSpan w:val="2"/>
            <w:vMerge w:val="restart"/>
          </w:tcPr>
          <w:p>
            <w:pPr>
              <w:ind w:left="320"/>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(2)(3)</w:t>
            </w: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rPr>
              <w:t>By Limited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color w:val="0000FF"/>
                <w:w w:val="87"/>
              </w:rPr>
              <w:t>Partnerships</w:t>
            </w:r>
            <w:r>
              <w:rPr>
                <w:rFonts w:ascii="Arial" w:cs="Arial" w:eastAsia="Arial" w:hAnsi="Arial"/>
                <w:sz w:val="22"/>
                <w:szCs w:val="22"/>
                <w:color w:val="008000"/>
                <w:w w:val="87"/>
                <w:vertAlign w:val="superscript"/>
              </w:rPr>
              <w:t>(2)(3)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9"/>
          </w:tcPr>
          <w:p>
            <w:pPr>
              <w:jc w:val="center"/>
              <w:ind w:left="7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940" w:type="dxa"/>
            <w:vAlign w:val="bottom"/>
            <w:gridSpan w:val="17"/>
          </w:tcPr>
          <w:p>
            <w:pPr>
              <w:jc w:val="center"/>
              <w:ind w:right="4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3"/>
          </w:tcPr>
          <w:p>
            <w:pPr>
              <w:ind w:left="60"/>
              <w:spacing w:after="0"/>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4"/>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9. Number of    10.</w:t>
            </w:r>
          </w:p>
        </w:tc>
        <w:tc>
          <w:tcPr>
            <w:tcW w:w="5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Execution Date,</w:t>
            </w:r>
          </w:p>
        </w:tc>
        <w:tc>
          <w:tcPr>
            <w:tcW w:w="6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42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02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02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102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102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2"/>
              </w:rPr>
              <w:t>Date</w:t>
            </w:r>
          </w:p>
        </w:tc>
        <w:tc>
          <w:tcPr>
            <w:tcW w:w="126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Expiration</w:t>
            </w:r>
          </w:p>
        </w:tc>
        <w:tc>
          <w:tcPr>
            <w:tcW w:w="9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spacing w:after="0"/>
              <w:rPr>
                <w:sz w:val="13"/>
                <w:szCs w:val="13"/>
                <w:color w:val="auto"/>
              </w:rPr>
            </w:pP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is a weighted average price.</w:t>
      </w:r>
    </w:p>
    <w:p>
      <w:pPr>
        <w:spacing w:after="0" w:line="41" w:lineRule="exact"/>
        <w:rPr>
          <w:rFonts w:ascii="Arial" w:cs="Arial" w:eastAsia="Arial" w:hAnsi="Arial"/>
          <w:sz w:val="14"/>
          <w:szCs w:val="14"/>
          <w:color w:val="008000"/>
        </w:rPr>
      </w:pPr>
    </w:p>
    <w:p>
      <w:pPr>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AWM Investment Company, Inc., a Delaware Corporation (AWM), is the investment adviser to Special Situations Fund III QP, L.P. (QP), Special Situations Cayman Fund, L.P. (CAYMAN) and Special Situations Private Equity Fund, L.P. (PE together with QP and CAYMAN the Funds). As the investment adviser to the Funds, AWM holds sole voting and investment power over 750,669 of Common Stock of the Issuer (the Shares) held by QP, 280,744 Shares held by CAYMAN and 232,989 Shares held by PE.</w:t>
      </w:r>
    </w:p>
    <w:p>
      <w:pPr>
        <w:spacing w:after="0" w:line="30" w:lineRule="exact"/>
        <w:rPr>
          <w:rFonts w:ascii="Arial" w:cs="Arial" w:eastAsia="Arial" w:hAnsi="Arial"/>
          <w:sz w:val="14"/>
          <w:szCs w:val="14"/>
          <w:color w:val="008000"/>
        </w:rPr>
      </w:pPr>
    </w:p>
    <w:p>
      <w:pPr>
        <w:ind w:left="40" w:right="1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Austin W. Marxe (Marxe), David M. Greenhouse (Greenhouse) and Adam C. Stettner (Stettner) are the controlling principals of AWM. The reporting person disclaims beneficial ownership of the Shares, except to the extent of its pecuniary interest therein. This report shall not be deemed an admission that the reporting person is the beneficial owner of the securities reported herein for purposes of Section 16 of the Securities Exchange Act of 1934, as amended, or for any other purpose.</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Adam Stettner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05/13/2019</w:t>
            </w:r>
          </w:p>
        </w:tc>
      </w:tr>
      <w:tr>
        <w:trPr>
          <w:trHeight w:val="20"/>
        </w:trPr>
        <w:tc>
          <w:tcPr>
            <w:tcW w:w="10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5264"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2019-12-24T07:49:27Z</dcterms:created>
  <dcterms:modified xsi:type="dcterms:W3CDTF">2019-12-24T07:49:27Z</dcterms:modified>
</cp:coreProperties>
</file>