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25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2571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Silvestro Stephen L</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OPTIMIZERX CORPORATION</w:t>
            </w: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260 CHARLES STREET, SUITE 302</w:t>
            </w:r>
          </w:p>
        </w:tc>
      </w:tr>
      <w:tr>
        <w:trPr>
          <w:trHeight w:val="421"/>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02453</w:t>
            </w:r>
          </w:p>
        </w:tc>
      </w:tr>
      <w:tr>
        <w:trPr>
          <w:trHeight w:val="459"/>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05/02/2024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Chief Commercial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0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05/02/2024</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90,000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108,261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05/02/2024</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35,415</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10.7</w:t>
            </w:r>
          </w:p>
        </w:tc>
        <w:tc>
          <w:tcPr>
            <w:tcW w:w="13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72,846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72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7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05/02/2024</w:t>
            </w:r>
            <w:r>
              <w:rPr>
                <w:rFonts w:ascii="Times New Roman" w:cs="Times New Roman" w:eastAsia="Times New Roman" w:hAnsi="Times New Roman"/>
                <w:sz w:val="21"/>
                <w:szCs w:val="21"/>
                <w:color w:val="008000"/>
                <w:vertAlign w:val="superscript"/>
              </w:rPr>
              <w:t>(3)</w:t>
            </w:r>
          </w:p>
        </w:tc>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05/02/2024</w:t>
            </w:r>
            <w:r>
              <w:rPr>
                <w:rFonts w:ascii="Times New Roman" w:cs="Times New Roman" w:eastAsia="Times New Roman" w:hAnsi="Times New Roman"/>
                <w:sz w:val="21"/>
                <w:szCs w:val="21"/>
                <w:color w:val="008000"/>
                <w:vertAlign w:val="superscript"/>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90,000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05/02/2024</w:t>
            </w:r>
          </w:p>
        </w:tc>
        <w:tc>
          <w:tcPr>
            <w:tcW w:w="1060" w:type="dxa"/>
            <w:vAlign w:val="bottom"/>
          </w:tcPr>
          <w:p>
            <w:pPr>
              <w:spacing w:after="0"/>
              <w:rPr>
                <w:sz w:val="12"/>
                <w:szCs w:val="12"/>
                <w:color w:val="auto"/>
              </w:rPr>
            </w:pPr>
          </w:p>
        </w:tc>
        <w:tc>
          <w:tcPr>
            <w:tcW w:w="760" w:type="dxa"/>
            <w:vAlign w:val="bottom"/>
          </w:tcPr>
          <w:p>
            <w:pPr>
              <w:jc w:val="center"/>
              <w:ind w:right="26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90,000</w:t>
            </w:r>
          </w:p>
        </w:tc>
        <w:tc>
          <w:tcPr>
            <w:tcW w:w="9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-1976120</wp:posOffset>
            </wp:positionV>
            <wp:extent cx="28575" cy="198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812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0" w:lineRule="exact"/>
        <w:rPr>
          <w:rFonts w:ascii="Times New Roman" w:cs="Times New Roman" w:eastAsia="Times New Roman" w:hAnsi="Times New Roman"/>
          <w:sz w:val="13"/>
          <w:szCs w:val="13"/>
          <w:color w:val="008000"/>
        </w:rPr>
      </w:pPr>
    </w:p>
    <w:p>
      <w:pPr>
        <w:ind w:left="40" w:right="2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cliff vested in full on May 2, 2024, the fifth anniversary of the grant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right="180"/>
        <w:spacing w:after="0" w:line="24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Marion Odence-Ford, by</w:t>
            </w:r>
          </w:p>
        </w:tc>
        <w:tc>
          <w:tcPr>
            <w:tcW w:w="3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05/06/2024</w:t>
            </w:r>
          </w:p>
        </w:tc>
        <w:tc>
          <w:tcPr>
            <w:tcW w:w="0" w:type="dxa"/>
            <w:vAlign w:val="bottom"/>
          </w:tcPr>
          <w:p>
            <w:pPr>
              <w:spacing w:after="0"/>
              <w:rPr>
                <w:sz w:val="1"/>
                <w:szCs w:val="1"/>
                <w:color w:val="auto"/>
              </w:rPr>
            </w:pPr>
          </w:p>
        </w:tc>
      </w:tr>
      <w:tr>
        <w:trPr>
          <w:trHeight w:val="86"/>
        </w:trPr>
        <w:tc>
          <w:tcPr>
            <w:tcW w:w="122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Power of Attorney</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2024-05-06T20:43:03Z</dcterms:created>
  <dcterms:modified xsi:type="dcterms:W3CDTF">2024-05-06T20:43:03Z</dcterms:modified>
</cp:coreProperties>
</file>