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29" w:lineRule="exact"/>
        <w:rPr>
          <w:sz w:val="24"/>
          <w:szCs w:val="24"/>
          <w:color w:val="auto"/>
        </w:rPr>
      </w:pPr>
    </w:p>
    <w:p>
      <w:pPr>
        <w:ind w:left="3980" w:right="2320" w:hanging="1652"/>
        <w:spacing w:after="0" w:line="481" w:lineRule="auto"/>
        <w:tabs>
          <w:tab w:leader="none" w:pos="253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Quarterly Report pursuant to Section 13 or 15(d) of the Securities Exchange Act of 1934 For the quarterly period ended </w:t>
      </w:r>
      <w:r>
        <w:rPr>
          <w:rFonts w:ascii="Arial" w:cs="Arial" w:eastAsia="Arial" w:hAnsi="Arial"/>
          <w:sz w:val="18"/>
          <w:szCs w:val="18"/>
          <w:b w:val="1"/>
          <w:bCs w:val="1"/>
          <w:u w:val="single" w:color="auto"/>
          <w:color w:val="auto"/>
        </w:rPr>
        <w:t>June 30, 2021</w:t>
      </w:r>
    </w:p>
    <w:p>
      <w:pPr>
        <w:spacing w:after="0" w:line="34" w:lineRule="exact"/>
        <w:rPr>
          <w:rFonts w:ascii="MS PGothic" w:cs="MS PGothic" w:eastAsia="MS PGothic" w:hAnsi="MS PGothic"/>
          <w:sz w:val="18"/>
          <w:szCs w:val="18"/>
          <w:color w:val="auto"/>
        </w:rPr>
      </w:pPr>
    </w:p>
    <w:p>
      <w:pPr>
        <w:ind w:left="3580" w:right="2580" w:hanging="982"/>
        <w:spacing w:after="0" w:line="498" w:lineRule="auto"/>
        <w:tabs>
          <w:tab w:leader="none" w:pos="280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13 or 15(d) of the Securities Exchange Act of 1934 For the transition period from ________ to __________</w:t>
      </w:r>
    </w:p>
    <w:tbl>
      <w:tblPr>
        <w:tblLayout w:type="fixed"/>
        <w:tblInd w:w="0" w:type="dxa"/>
        <w:tblCellMar>
          <w:top w:w="0" w:type="dxa"/>
          <w:left w:w="0" w:type="dxa"/>
          <w:bottom w:w="0" w:type="dxa"/>
          <w:right w:w="0" w:type="dxa"/>
        </w:tblCellMar>
      </w:tblPr>
      <w:tr>
        <w:trPr>
          <w:trHeight w:val="195"/>
        </w:trPr>
        <w:tc>
          <w:tcPr>
            <w:tcW w:w="7660" w:type="dxa"/>
            <w:vAlign w:val="bottom"/>
            <w:gridSpan w:val="9"/>
          </w:tcPr>
          <w:p>
            <w:pPr>
              <w:jc w:val="center"/>
              <w:ind w:left="3510"/>
              <w:spacing w:after="0" w:line="195" w:lineRule="exact"/>
              <w:rPr>
                <w:sz w:val="20"/>
                <w:szCs w:val="20"/>
                <w:color w:val="auto"/>
              </w:rPr>
            </w:pPr>
            <w:r>
              <w:rPr>
                <w:rFonts w:ascii="Arial" w:cs="Arial" w:eastAsia="Arial" w:hAnsi="Arial"/>
                <w:sz w:val="18"/>
                <w:szCs w:val="18"/>
                <w:color w:val="auto"/>
                <w:w w:val="91"/>
              </w:rPr>
              <w:t xml:space="preserve">Commission File Number: </w:t>
            </w:r>
            <w:r>
              <w:rPr>
                <w:rFonts w:ascii="Arial" w:cs="Arial" w:eastAsia="Arial" w:hAnsi="Arial"/>
                <w:sz w:val="18"/>
                <w:szCs w:val="18"/>
                <w:b w:val="1"/>
                <w:bCs w:val="1"/>
                <w:color w:val="auto"/>
                <w:w w:val="91"/>
              </w:rPr>
              <w:t>001-38543</w:t>
            </w:r>
          </w:p>
        </w:tc>
        <w:tc>
          <w:tcPr>
            <w:tcW w:w="3580" w:type="dxa"/>
            <w:vAlign w:val="bottom"/>
          </w:tcPr>
          <w:p>
            <w:pPr>
              <w:spacing w:after="0"/>
              <w:rPr>
                <w:sz w:val="16"/>
                <w:szCs w:val="16"/>
                <w:color w:val="auto"/>
              </w:rPr>
            </w:pPr>
          </w:p>
        </w:tc>
      </w:tr>
      <w:tr>
        <w:trPr>
          <w:trHeight w:val="20"/>
        </w:trPr>
        <w:tc>
          <w:tcPr>
            <w:tcW w:w="4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r>
      <w:tr>
        <w:trPr>
          <w:trHeight w:val="412"/>
        </w:trPr>
        <w:tc>
          <w:tcPr>
            <w:tcW w:w="4660" w:type="dxa"/>
            <w:vAlign w:val="bottom"/>
          </w:tcPr>
          <w:p>
            <w:pPr>
              <w:spacing w:after="0"/>
              <w:rPr>
                <w:sz w:val="24"/>
                <w:szCs w:val="24"/>
                <w:color w:val="auto"/>
              </w:rPr>
            </w:pPr>
          </w:p>
        </w:tc>
        <w:tc>
          <w:tcPr>
            <w:tcW w:w="194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b w:val="1"/>
                <w:bCs w:val="1"/>
                <w:color w:val="auto"/>
                <w:w w:val="93"/>
              </w:rPr>
              <w:t>OptimizeRx Corporation</w:t>
            </w:r>
          </w:p>
        </w:tc>
        <w:tc>
          <w:tcPr>
            <w:tcW w:w="1060" w:type="dxa"/>
            <w:vAlign w:val="bottom"/>
            <w:gridSpan w:val="2"/>
          </w:tcPr>
          <w:p>
            <w:pPr>
              <w:spacing w:after="0"/>
              <w:rPr>
                <w:sz w:val="24"/>
                <w:szCs w:val="24"/>
                <w:color w:val="auto"/>
              </w:rPr>
            </w:pPr>
          </w:p>
        </w:tc>
        <w:tc>
          <w:tcPr>
            <w:tcW w:w="3580" w:type="dxa"/>
            <w:vAlign w:val="bottom"/>
          </w:tcPr>
          <w:p>
            <w:pPr>
              <w:spacing w:after="0"/>
              <w:rPr>
                <w:sz w:val="24"/>
                <w:szCs w:val="24"/>
                <w:color w:val="auto"/>
              </w:rPr>
            </w:pPr>
          </w:p>
        </w:tc>
      </w:tr>
      <w:tr>
        <w:trPr>
          <w:trHeight w:val="237"/>
        </w:trPr>
        <w:tc>
          <w:tcPr>
            <w:tcW w:w="7660" w:type="dxa"/>
            <w:vAlign w:val="bottom"/>
            <w:gridSpan w:val="9"/>
          </w:tcPr>
          <w:p>
            <w:pPr>
              <w:jc w:val="center"/>
              <w:ind w:left="3490"/>
              <w:spacing w:after="0"/>
              <w:rPr>
                <w:sz w:val="20"/>
                <w:szCs w:val="20"/>
                <w:color w:val="auto"/>
              </w:rPr>
            </w:pPr>
            <w:r>
              <w:rPr>
                <w:rFonts w:ascii="Arial" w:cs="Arial" w:eastAsia="Arial" w:hAnsi="Arial"/>
                <w:sz w:val="18"/>
                <w:szCs w:val="18"/>
                <w:color w:val="auto"/>
                <w:w w:val="90"/>
              </w:rPr>
              <w:t>(Exact name of registrant as specified in its charter)</w:t>
            </w:r>
          </w:p>
        </w:tc>
        <w:tc>
          <w:tcPr>
            <w:tcW w:w="3580" w:type="dxa"/>
            <w:vAlign w:val="bottom"/>
          </w:tcPr>
          <w:p>
            <w:pPr>
              <w:spacing w:after="0"/>
              <w:rPr>
                <w:sz w:val="20"/>
                <w:szCs w:val="20"/>
                <w:color w:val="auto"/>
              </w:rPr>
            </w:pPr>
          </w:p>
        </w:tc>
      </w:tr>
      <w:tr>
        <w:trPr>
          <w:trHeight w:val="439"/>
        </w:trPr>
        <w:tc>
          <w:tcPr>
            <w:tcW w:w="7660" w:type="dxa"/>
            <w:vAlign w:val="bottom"/>
            <w:gridSpan w:val="9"/>
          </w:tcPr>
          <w:p>
            <w:pPr>
              <w:jc w:val="center"/>
              <w:ind w:right="2120"/>
              <w:spacing w:after="0"/>
              <w:rPr>
                <w:sz w:val="20"/>
                <w:szCs w:val="20"/>
                <w:color w:val="auto"/>
              </w:rPr>
            </w:pPr>
            <w:r>
              <w:rPr>
                <w:rFonts w:ascii="Arial" w:cs="Arial" w:eastAsia="Arial" w:hAnsi="Arial"/>
                <w:sz w:val="18"/>
                <w:szCs w:val="18"/>
                <w:b w:val="1"/>
                <w:bCs w:val="1"/>
                <w:color w:val="auto"/>
                <w:w w:val="90"/>
              </w:rPr>
              <w:t>Nevada</w:t>
            </w:r>
          </w:p>
        </w:tc>
        <w:tc>
          <w:tcPr>
            <w:tcW w:w="3580" w:type="dxa"/>
            <w:vAlign w:val="bottom"/>
          </w:tcPr>
          <w:p>
            <w:pPr>
              <w:jc w:val="center"/>
              <w:ind w:right="1830"/>
              <w:spacing w:after="0"/>
              <w:rPr>
                <w:sz w:val="20"/>
                <w:szCs w:val="20"/>
                <w:color w:val="auto"/>
              </w:rPr>
            </w:pPr>
            <w:r>
              <w:rPr>
                <w:rFonts w:ascii="Arial" w:cs="Arial" w:eastAsia="Arial" w:hAnsi="Arial"/>
                <w:sz w:val="18"/>
                <w:szCs w:val="18"/>
                <w:b w:val="1"/>
                <w:bCs w:val="1"/>
                <w:color w:val="auto"/>
                <w:w w:val="89"/>
              </w:rPr>
              <w:t>26-1265381</w:t>
            </w:r>
          </w:p>
        </w:tc>
      </w:tr>
      <w:tr>
        <w:trPr>
          <w:trHeight w:val="202"/>
        </w:trPr>
        <w:tc>
          <w:tcPr>
            <w:tcW w:w="5520" w:type="dxa"/>
            <w:vAlign w:val="bottom"/>
            <w:tcBorders>
              <w:top w:val="single" w:sz="8" w:color="auto"/>
            </w:tcBorders>
            <w:gridSpan w:val="3"/>
          </w:tcPr>
          <w:p>
            <w:pPr>
              <w:jc w:val="center"/>
              <w:spacing w:after="0" w:line="201" w:lineRule="exact"/>
              <w:rPr>
                <w:sz w:val="20"/>
                <w:szCs w:val="20"/>
                <w:color w:val="auto"/>
              </w:rPr>
            </w:pPr>
            <w:r>
              <w:rPr>
                <w:rFonts w:ascii="Arial" w:cs="Arial" w:eastAsia="Arial" w:hAnsi="Arial"/>
                <w:sz w:val="18"/>
                <w:szCs w:val="18"/>
                <w:color w:val="auto"/>
                <w:w w:val="92"/>
              </w:rPr>
              <w:t>(State or other jurisdiction of</w:t>
            </w:r>
          </w:p>
        </w:tc>
        <w:tc>
          <w:tcPr>
            <w:tcW w:w="22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3580" w:type="dxa"/>
            <w:vAlign w:val="bottom"/>
            <w:tcBorders>
              <w:top w:val="single" w:sz="8" w:color="auto"/>
            </w:tcBorders>
          </w:tcPr>
          <w:p>
            <w:pPr>
              <w:jc w:val="center"/>
              <w:ind w:right="1870"/>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7660" w:type="dxa"/>
            <w:vAlign w:val="bottom"/>
            <w:gridSpan w:val="9"/>
          </w:tcPr>
          <w:p>
            <w:pPr>
              <w:jc w:val="center"/>
              <w:ind w:right="2140"/>
              <w:spacing w:after="0"/>
              <w:rPr>
                <w:sz w:val="20"/>
                <w:szCs w:val="20"/>
                <w:color w:val="auto"/>
              </w:rPr>
            </w:pPr>
            <w:r>
              <w:rPr>
                <w:rFonts w:ascii="Arial" w:cs="Arial" w:eastAsia="Arial" w:hAnsi="Arial"/>
                <w:sz w:val="18"/>
                <w:szCs w:val="18"/>
                <w:color w:val="auto"/>
                <w:w w:val="92"/>
              </w:rPr>
              <w:t>incorporation or organization)</w:t>
            </w:r>
          </w:p>
        </w:tc>
        <w:tc>
          <w:tcPr>
            <w:tcW w:w="3580" w:type="dxa"/>
            <w:vAlign w:val="bottom"/>
          </w:tcPr>
          <w:p>
            <w:pPr>
              <w:jc w:val="center"/>
              <w:ind w:right="183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7660" w:type="dxa"/>
            <w:vAlign w:val="bottom"/>
            <w:gridSpan w:val="9"/>
          </w:tcPr>
          <w:p>
            <w:pPr>
              <w:jc w:val="center"/>
              <w:ind w:left="3490"/>
              <w:spacing w:after="0"/>
              <w:rPr>
                <w:sz w:val="20"/>
                <w:szCs w:val="20"/>
                <w:color w:val="auto"/>
              </w:rPr>
            </w:pPr>
            <w:r>
              <w:rPr>
                <w:rFonts w:ascii="Arial" w:cs="Arial" w:eastAsia="Arial" w:hAnsi="Arial"/>
                <w:sz w:val="18"/>
                <w:szCs w:val="18"/>
                <w:b w:val="1"/>
                <w:bCs w:val="1"/>
                <w:color w:val="auto"/>
                <w:w w:val="90"/>
              </w:rPr>
              <w:t>400 Water Street, Suite 200</w:t>
            </w:r>
          </w:p>
        </w:tc>
        <w:tc>
          <w:tcPr>
            <w:tcW w:w="3580" w:type="dxa"/>
            <w:vAlign w:val="bottom"/>
          </w:tcPr>
          <w:p>
            <w:pPr>
              <w:spacing w:after="0"/>
              <w:rPr>
                <w:sz w:val="24"/>
                <w:szCs w:val="24"/>
                <w:color w:val="auto"/>
              </w:rPr>
            </w:pPr>
          </w:p>
        </w:tc>
      </w:tr>
      <w:tr>
        <w:trPr>
          <w:trHeight w:val="194"/>
        </w:trPr>
        <w:tc>
          <w:tcPr>
            <w:tcW w:w="4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tcBorders>
              <w:bottom w:val="single" w:sz="8" w:color="auto"/>
            </w:tcBorders>
            <w:gridSpan w:val="4"/>
          </w:tcPr>
          <w:p>
            <w:pPr>
              <w:jc w:val="center"/>
              <w:spacing w:after="0" w:line="194" w:lineRule="exact"/>
              <w:rPr>
                <w:sz w:val="20"/>
                <w:szCs w:val="20"/>
                <w:color w:val="auto"/>
              </w:rPr>
            </w:pPr>
            <w:r>
              <w:rPr>
                <w:rFonts w:ascii="Arial" w:cs="Arial" w:eastAsia="Arial" w:hAnsi="Arial"/>
                <w:sz w:val="18"/>
                <w:szCs w:val="18"/>
                <w:b w:val="1"/>
                <w:bCs w:val="1"/>
                <w:color w:val="auto"/>
                <w:w w:val="90"/>
              </w:rPr>
              <w:t>Rochester, MI, 48307</w:t>
            </w:r>
          </w:p>
        </w:tc>
        <w:tc>
          <w:tcPr>
            <w:tcW w:w="1220" w:type="dxa"/>
            <w:vAlign w:val="bottom"/>
            <w:gridSpan w:val="3"/>
          </w:tcPr>
          <w:p>
            <w:pPr>
              <w:spacing w:after="0"/>
              <w:rPr>
                <w:sz w:val="16"/>
                <w:szCs w:val="16"/>
                <w:color w:val="auto"/>
              </w:rPr>
            </w:pPr>
          </w:p>
        </w:tc>
        <w:tc>
          <w:tcPr>
            <w:tcW w:w="3580" w:type="dxa"/>
            <w:vAlign w:val="bottom"/>
          </w:tcPr>
          <w:p>
            <w:pPr>
              <w:spacing w:after="0"/>
              <w:rPr>
                <w:sz w:val="16"/>
                <w:szCs w:val="16"/>
                <w:color w:val="auto"/>
              </w:rPr>
            </w:pPr>
          </w:p>
        </w:tc>
      </w:tr>
      <w:tr>
        <w:trPr>
          <w:trHeight w:val="237"/>
        </w:trPr>
        <w:tc>
          <w:tcPr>
            <w:tcW w:w="7660" w:type="dxa"/>
            <w:vAlign w:val="bottom"/>
            <w:gridSpan w:val="9"/>
          </w:tcPr>
          <w:p>
            <w:pPr>
              <w:jc w:val="center"/>
              <w:ind w:left="3510"/>
              <w:spacing w:after="0"/>
              <w:rPr>
                <w:sz w:val="20"/>
                <w:szCs w:val="20"/>
                <w:color w:val="auto"/>
              </w:rPr>
            </w:pPr>
            <w:r>
              <w:rPr>
                <w:rFonts w:ascii="Arial" w:cs="Arial" w:eastAsia="Arial" w:hAnsi="Arial"/>
                <w:sz w:val="18"/>
                <w:szCs w:val="18"/>
                <w:color w:val="auto"/>
                <w:w w:val="92"/>
              </w:rPr>
              <w:t>(Address of principal executive offices)</w:t>
            </w:r>
          </w:p>
        </w:tc>
        <w:tc>
          <w:tcPr>
            <w:tcW w:w="358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248-651-6568</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11" w:lineRule="exact"/>
        <w:rPr>
          <w:sz w:val="24"/>
          <w:szCs w:val="24"/>
          <w:color w:val="auto"/>
        </w:rPr>
      </w:pPr>
    </w:p>
    <w:p>
      <w:pPr>
        <w:ind w:right="30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36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229.405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 reporting company,” and “emerging growth company” in Rule 12b-2 of the Exchange Act.</w:t>
      </w:r>
    </w:p>
    <w:p>
      <w:pPr>
        <w:sectPr>
          <w:pgSz w:w="11900" w:h="16838" w:orient="portrait"/>
          <w:cols w:equalWidth="0" w:num="1">
            <w:col w:w="11240"/>
          </w:cols>
          <w:pgMar w:left="320" w:top="517" w:right="339" w:bottom="1440" w:gutter="0" w:footer="0" w:header="0"/>
        </w:sectPr>
      </w:pPr>
    </w:p>
    <w:p>
      <w:pPr>
        <w:spacing w:after="0" w:line="151" w:lineRule="exact"/>
        <w:rPr>
          <w:sz w:val="24"/>
          <w:szCs w:val="24"/>
          <w:color w:val="auto"/>
        </w:rPr>
      </w:pPr>
    </w:p>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Large accelerated filer</w:t>
      </w:r>
    </w:p>
    <w:p>
      <w:pPr>
        <w:spacing w:after="0" w:line="81" w:lineRule="exact"/>
        <w:rPr>
          <w:sz w:val="24"/>
          <w:szCs w:val="24"/>
          <w:color w:val="auto"/>
        </w:rPr>
      </w:pPr>
    </w:p>
    <w:p>
      <w:pPr>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Non-accelerated filer</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w:t>
      </w:r>
    </w:p>
    <w:p>
      <w:pPr>
        <w:spacing w:after="0" w:line="58" w:lineRule="exact"/>
        <w:rPr>
          <w:sz w:val="24"/>
          <w:szCs w:val="24"/>
          <w:color w:val="auto"/>
        </w:rPr>
      </w:pPr>
    </w:p>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Smaller reporting company</w:t>
      </w:r>
    </w:p>
    <w:p>
      <w:pPr>
        <w:spacing w:after="0" w:line="32" w:lineRule="exact"/>
        <w:rPr>
          <w:sz w:val="24"/>
          <w:szCs w:val="24"/>
          <w:color w:val="auto"/>
        </w:rPr>
      </w:pPr>
    </w:p>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Emerging growth company</w:t>
      </w:r>
    </w:p>
    <w:p>
      <w:pPr>
        <w:spacing w:after="0" w:line="200" w:lineRule="exact"/>
        <w:rPr>
          <w:sz w:val="24"/>
          <w:szCs w:val="24"/>
          <w:color w:val="auto"/>
        </w:rPr>
      </w:pPr>
    </w:p>
    <w:p>
      <w:pPr>
        <w:sectPr>
          <w:pgSz w:w="11900" w:h="16838" w:orient="portrait"/>
          <w:cols w:equalWidth="0" w:num="2">
            <w:col w:w="4900" w:space="720"/>
            <w:col w:w="5620"/>
          </w:cols>
          <w:pgMar w:left="320" w:top="517" w:right="339" w:bottom="1440" w:gutter="0" w:footer="0" w:header="0"/>
          <w:type w:val="continuous"/>
        </w:sectPr>
      </w:pPr>
    </w:p>
    <w:p>
      <w:pPr>
        <w:spacing w:after="0" w:line="32"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ind w:right="220"/>
        <w:spacing w:after="0" w:line="277" w:lineRule="auto"/>
        <w:rPr>
          <w:sz w:val="20"/>
          <w:szCs w:val="20"/>
          <w:color w:val="auto"/>
        </w:rPr>
      </w:pPr>
      <w:r>
        <w:rPr>
          <w:rFonts w:ascii="Arial" w:cs="Arial" w:eastAsia="Arial" w:hAnsi="Arial"/>
          <w:sz w:val="18"/>
          <w:szCs w:val="18"/>
          <w:color w:val="auto"/>
        </w:rPr>
        <w:t>State the number of shares outstanding of each of the issuer’s classes of common stock, as of the latest practicable date: 17,618,607 common shares as of July 30, 2021.</w:t>
      </w:r>
    </w:p>
    <w:p>
      <w:pPr>
        <w:spacing w:after="0" w:line="170"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60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14"/>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w:t>
            </w:r>
          </w:p>
        </w:tc>
      </w:tr>
      <w:tr>
        <w:trPr>
          <w:trHeight w:val="241"/>
        </w:trPr>
        <w:tc>
          <w:tcPr>
            <w:tcW w:w="4600" w:type="dxa"/>
            <w:vAlign w:val="bottom"/>
            <w:gridSpan w:val="3"/>
          </w:tcPr>
          <w:p>
            <w:pPr>
              <w:jc w:val="center"/>
              <w:ind w:right="980"/>
              <w:spacing w:after="0"/>
              <w:rPr>
                <w:sz w:val="20"/>
                <w:szCs w:val="20"/>
                <w:color w:val="auto"/>
              </w:rPr>
            </w:pPr>
            <w:r>
              <w:rPr>
                <w:rFonts w:ascii="Arial" w:cs="Arial" w:eastAsia="Arial" w:hAnsi="Arial"/>
                <w:sz w:val="18"/>
                <w:szCs w:val="18"/>
                <w:b w:val="1"/>
                <w:bCs w:val="1"/>
                <w:color w:val="auto"/>
                <w:w w:val="86"/>
              </w:rPr>
              <w:t>Title of each class</w:t>
            </w:r>
          </w:p>
        </w:tc>
        <w:tc>
          <w:tcPr>
            <w:tcW w:w="3040" w:type="dxa"/>
            <w:vAlign w:val="bottom"/>
            <w:gridSpan w:val="2"/>
          </w:tcPr>
          <w:p>
            <w:pPr>
              <w:jc w:val="center"/>
              <w:ind w:right="960"/>
              <w:spacing w:after="0"/>
              <w:rPr>
                <w:sz w:val="20"/>
                <w:szCs w:val="20"/>
                <w:color w:val="auto"/>
              </w:rPr>
            </w:pPr>
            <w:r>
              <w:rPr>
                <w:rFonts w:ascii="Arial" w:cs="Arial" w:eastAsia="Arial" w:hAnsi="Arial"/>
                <w:sz w:val="18"/>
                <w:szCs w:val="18"/>
                <w:b w:val="1"/>
                <w:bCs w:val="1"/>
                <w:color w:val="auto"/>
                <w:w w:val="89"/>
              </w:rPr>
              <w:t>Trading symbol</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registered</w:t>
            </w:r>
          </w:p>
        </w:tc>
      </w:tr>
      <w:tr>
        <w:trPr>
          <w:trHeight w:val="230"/>
        </w:trPr>
        <w:tc>
          <w:tcPr>
            <w:tcW w:w="3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Common Stock</w:t>
            </w:r>
          </w:p>
        </w:tc>
        <w:tc>
          <w:tcPr>
            <w:tcW w:w="220" w:type="dxa"/>
            <w:vAlign w:val="bottom"/>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2840" w:type="dxa"/>
            <w:vAlign w:val="bottom"/>
            <w:tcBorders>
              <w:top w:val="single" w:sz="8" w:color="auto"/>
            </w:tcBorders>
          </w:tcPr>
          <w:p>
            <w:pPr>
              <w:jc w:val="center"/>
              <w:ind w:right="670"/>
              <w:spacing w:after="0"/>
              <w:rPr>
                <w:sz w:val="20"/>
                <w:szCs w:val="20"/>
                <w:color w:val="auto"/>
              </w:rPr>
            </w:pPr>
            <w:r>
              <w:rPr>
                <w:rFonts w:ascii="Arial" w:cs="Arial" w:eastAsia="Arial" w:hAnsi="Arial"/>
                <w:sz w:val="18"/>
                <w:szCs w:val="18"/>
                <w:color w:val="auto"/>
                <w:w w:val="93"/>
              </w:rPr>
              <w:t>OPRX</w:t>
            </w:r>
          </w:p>
        </w:tc>
        <w:tc>
          <w:tcPr>
            <w:tcW w:w="20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Nasdaq Capital Market</w:t>
            </w:r>
          </w:p>
        </w:tc>
      </w:tr>
      <w:tr>
        <w:trPr>
          <w:trHeight w:val="202"/>
        </w:trPr>
        <w:tc>
          <w:tcPr>
            <w:tcW w:w="36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28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600" w:type="dxa"/>
            <w:vAlign w:val="bottom"/>
            <w:tcBorders>
              <w:bottom w:val="single" w:sz="8" w:color="auto"/>
            </w:tcBorders>
          </w:tcPr>
          <w:p>
            <w:pPr>
              <w:spacing w:after="0"/>
              <w:rPr>
                <w:sz w:val="17"/>
                <w:szCs w:val="17"/>
                <w:color w:val="auto"/>
              </w:rPr>
            </w:pPr>
          </w:p>
        </w:tc>
      </w:tr>
      <w:tr>
        <w:trPr>
          <w:trHeight w:val="28"/>
        </w:trPr>
        <w:tc>
          <w:tcPr>
            <w:tcW w:w="36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r>
      <w:tr>
        <w:trPr>
          <w:trHeight w:val="655"/>
        </w:trPr>
        <w:tc>
          <w:tcPr>
            <w:tcW w:w="3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17" w:right="339" w:bottom="144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140" w:type="dxa"/>
            <w:vAlign w:val="bottom"/>
            <w:gridSpan w:val="8"/>
          </w:tcPr>
          <w:p>
            <w:pPr>
              <w:ind w:left="220"/>
              <w:spacing w:after="0"/>
              <w:rPr>
                <w:sz w:val="20"/>
                <w:szCs w:val="20"/>
                <w:color w:val="auto"/>
              </w:rPr>
            </w:pPr>
            <w:r>
              <w:rPr>
                <w:rFonts w:ascii="Arial" w:cs="Arial" w:eastAsia="Arial" w:hAnsi="Arial"/>
                <w:sz w:val="18"/>
                <w:szCs w:val="18"/>
                <w:b w:val="1"/>
                <w:bCs w:val="1"/>
                <w:color w:val="auto"/>
              </w:rPr>
              <w:t>TABLE OF CONTENTS</w:t>
            </w:r>
          </w:p>
        </w:tc>
        <w:tc>
          <w:tcPr>
            <w:tcW w:w="660" w:type="dxa"/>
            <w:vAlign w:val="bottom"/>
          </w:tcPr>
          <w:p>
            <w:pPr>
              <w:spacing w:after="0"/>
              <w:rPr>
                <w:sz w:val="17"/>
                <w:szCs w:val="17"/>
                <w:color w:val="auto"/>
              </w:rPr>
            </w:pPr>
          </w:p>
        </w:tc>
      </w:tr>
      <w:tr>
        <w:trPr>
          <w:trHeight w:val="459"/>
        </w:trPr>
        <w:tc>
          <w:tcPr>
            <w:tcW w:w="1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Page</w:t>
            </w:r>
          </w:p>
        </w:tc>
      </w:tr>
      <w:tr>
        <w:trPr>
          <w:trHeight w:val="216"/>
        </w:trPr>
        <w:tc>
          <w:tcPr>
            <w:tcW w:w="1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196"/>
        </w:trPr>
        <w:tc>
          <w:tcPr>
            <w:tcW w:w="1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60" w:type="dxa"/>
            <w:vAlign w:val="bottom"/>
            <w:gridSpan w:val="10"/>
            <w:shd w:val="clear" w:color="auto" w:fill="CCEEFF"/>
          </w:tcPr>
          <w:p>
            <w:pPr>
              <w:jc w:val="center"/>
              <w:ind w:right="2380"/>
              <w:spacing w:after="0" w:line="176"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 FINANCIAL INFORMATION</w:t>
              </w:r>
            </w:hyperlink>
          </w:p>
        </w:tc>
        <w:tc>
          <w:tcPr>
            <w:tcW w:w="660" w:type="dxa"/>
            <w:vAlign w:val="bottom"/>
            <w:shd w:val="clear" w:color="auto" w:fill="CCEEFF"/>
          </w:tcPr>
          <w:p>
            <w:pPr>
              <w:spacing w:after="0"/>
              <w:rPr>
                <w:sz w:val="17"/>
                <w:szCs w:val="17"/>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98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r>
      <w:tr>
        <w:trPr>
          <w:trHeight w:val="176"/>
        </w:trPr>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9440" w:type="dxa"/>
            <w:vAlign w:val="bottom"/>
            <w:gridSpan w:val="18"/>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 (unaudited)</w:t>
              </w:r>
            </w:hyperlink>
          </w:p>
        </w:tc>
        <w:tc>
          <w:tcPr>
            <w:tcW w:w="6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1</w:t>
            </w:r>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9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140" w:type="dxa"/>
            <w:vAlign w:val="bottom"/>
          </w:tcPr>
          <w:p>
            <w:pPr>
              <w:spacing w:after="0" w:line="176" w:lineRule="exact"/>
              <w:rPr>
                <w:sz w:val="20"/>
                <w:szCs w:val="20"/>
                <w:color w:val="auto"/>
              </w:rPr>
            </w:pPr>
            <w:r>
              <w:rPr>
                <w:rFonts w:ascii="Arial" w:cs="Arial" w:eastAsia="Arial" w:hAnsi="Arial"/>
                <w:sz w:val="18"/>
                <w:szCs w:val="18"/>
                <w:color w:val="auto"/>
              </w:rPr>
              <w:t>Item 2:</w:t>
            </w:r>
          </w:p>
        </w:tc>
        <w:tc>
          <w:tcPr>
            <w:tcW w:w="9440" w:type="dxa"/>
            <w:vAlign w:val="bottom"/>
            <w:gridSpan w:val="18"/>
          </w:tcPr>
          <w:p>
            <w:pPr>
              <w:spacing w:after="0" w:line="176" w:lineRule="exact"/>
              <w:rPr>
                <w:rFonts w:ascii="Arial" w:cs="Arial" w:eastAsia="Arial" w:hAnsi="Arial"/>
                <w:sz w:val="18"/>
                <w:szCs w:val="18"/>
                <w:color w:val="0000EE"/>
              </w:rPr>
            </w:pPr>
            <w:hyperlink w:anchor="page15">
              <w:r>
                <w:rPr>
                  <w:rFonts w:ascii="Arial" w:cs="Arial" w:eastAsia="Arial" w:hAnsi="Arial"/>
                  <w:sz w:val="18"/>
                  <w:szCs w:val="18"/>
                  <w:color w:val="0000EE"/>
                </w:rPr>
                <w:t>Management’s Discussion and Analysis of Financial Condition and Results of Operations</w:t>
              </w:r>
            </w:hyperlink>
          </w:p>
        </w:tc>
        <w:tc>
          <w:tcPr>
            <w:tcW w:w="660" w:type="dxa"/>
            <w:vAlign w:val="bottom"/>
          </w:tcPr>
          <w:p>
            <w:pPr>
              <w:jc w:val="center"/>
              <w:spacing w:after="0" w:line="176" w:lineRule="exact"/>
              <w:rPr>
                <w:sz w:val="20"/>
                <w:szCs w:val="20"/>
                <w:color w:val="auto"/>
              </w:rPr>
            </w:pPr>
            <w:r>
              <w:rPr>
                <w:rFonts w:ascii="Arial" w:cs="Arial" w:eastAsia="Arial" w:hAnsi="Arial"/>
                <w:sz w:val="18"/>
                <w:szCs w:val="18"/>
                <w:color w:val="auto"/>
                <w:w w:val="89"/>
              </w:rPr>
              <w:t>13</w:t>
            </w:r>
          </w:p>
        </w:tc>
      </w:tr>
      <w:tr>
        <w:trPr>
          <w:trHeight w:val="20"/>
        </w:trPr>
        <w:tc>
          <w:tcPr>
            <w:tcW w:w="11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EE"/>
            </w:tcBorders>
            <w:gridSpan w:val="13"/>
            <w:shd w:val="clear" w:color="auto" w:fill="CCEEFF"/>
          </w:tcPr>
          <w:p>
            <w:pPr>
              <w:spacing w:after="0" w:line="176" w:lineRule="exact"/>
              <w:rPr>
                <w:rFonts w:ascii="Arial" w:cs="Arial" w:eastAsia="Arial" w:hAnsi="Arial"/>
                <w:sz w:val="18"/>
                <w:szCs w:val="18"/>
                <w:color w:val="0000EE"/>
                <w:w w:val="92"/>
              </w:rPr>
            </w:pPr>
            <w:hyperlink w:anchor="page19">
              <w:r>
                <w:rPr>
                  <w:rFonts w:ascii="Arial" w:cs="Arial" w:eastAsia="Arial" w:hAnsi="Arial"/>
                  <w:sz w:val="18"/>
                  <w:szCs w:val="18"/>
                  <w:color w:val="0000EE"/>
                  <w:w w:val="92"/>
                </w:rPr>
                <w:t>Quantitative and Qualitative Disclosures About Market Risk</w:t>
              </w:r>
            </w:hyperlink>
          </w:p>
        </w:tc>
        <w:tc>
          <w:tcPr>
            <w:tcW w:w="5080" w:type="dxa"/>
            <w:vAlign w:val="bottom"/>
            <w:tcBorders>
              <w:bottom w:val="single" w:sz="8" w:color="CCEEFF"/>
            </w:tcBorders>
            <w:gridSpan w:val="5"/>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17</w:t>
            </w:r>
          </w:p>
        </w:tc>
      </w:tr>
      <w:tr>
        <w:trPr>
          <w:trHeight w:val="175"/>
        </w:trPr>
        <w:tc>
          <w:tcPr>
            <w:tcW w:w="1140" w:type="dxa"/>
            <w:vAlign w:val="bottom"/>
          </w:tcPr>
          <w:p>
            <w:pPr>
              <w:spacing w:after="0" w:line="176" w:lineRule="exact"/>
              <w:rPr>
                <w:sz w:val="20"/>
                <w:szCs w:val="20"/>
                <w:color w:val="auto"/>
              </w:rPr>
            </w:pPr>
            <w:r>
              <w:rPr>
                <w:rFonts w:ascii="Arial" w:cs="Arial" w:eastAsia="Arial" w:hAnsi="Arial"/>
                <w:sz w:val="18"/>
                <w:szCs w:val="18"/>
                <w:color w:val="auto"/>
              </w:rPr>
              <w:t>Item 4:</w:t>
            </w:r>
          </w:p>
        </w:tc>
        <w:tc>
          <w:tcPr>
            <w:tcW w:w="9440" w:type="dxa"/>
            <w:vAlign w:val="bottom"/>
            <w:gridSpan w:val="18"/>
          </w:tcPr>
          <w:p>
            <w:pPr>
              <w:spacing w:after="0" w:line="176" w:lineRule="exact"/>
              <w:rPr>
                <w:rFonts w:ascii="Arial" w:cs="Arial" w:eastAsia="Arial" w:hAnsi="Arial"/>
                <w:sz w:val="18"/>
                <w:szCs w:val="18"/>
                <w:color w:val="0000EE"/>
              </w:rPr>
            </w:pPr>
            <w:hyperlink w:anchor="page20">
              <w:r>
                <w:rPr>
                  <w:rFonts w:ascii="Arial" w:cs="Arial" w:eastAsia="Arial" w:hAnsi="Arial"/>
                  <w:sz w:val="18"/>
                  <w:szCs w:val="18"/>
                  <w:color w:val="0000EE"/>
                </w:rPr>
                <w:t>Controls and Procedures</w:t>
              </w:r>
            </w:hyperlink>
          </w:p>
        </w:tc>
        <w:tc>
          <w:tcPr>
            <w:tcW w:w="660" w:type="dxa"/>
            <w:vAlign w:val="bottom"/>
          </w:tcPr>
          <w:p>
            <w:pPr>
              <w:jc w:val="center"/>
              <w:spacing w:after="0" w:line="176" w:lineRule="exact"/>
              <w:rPr>
                <w:sz w:val="20"/>
                <w:szCs w:val="20"/>
                <w:color w:val="auto"/>
              </w:rPr>
            </w:pPr>
            <w:r>
              <w:rPr>
                <w:rFonts w:ascii="Arial" w:cs="Arial" w:eastAsia="Arial" w:hAnsi="Arial"/>
                <w:sz w:val="18"/>
                <w:szCs w:val="18"/>
                <w:color w:val="auto"/>
                <w:w w:val="89"/>
              </w:rPr>
              <w:t>18</w:t>
            </w:r>
          </w:p>
        </w:tc>
      </w:tr>
      <w:tr>
        <w:trPr>
          <w:trHeight w:val="21"/>
        </w:trPr>
        <w:tc>
          <w:tcPr>
            <w:tcW w:w="11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16"/>
        </w:trPr>
        <w:tc>
          <w:tcPr>
            <w:tcW w:w="1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175"/>
        </w:trPr>
        <w:tc>
          <w:tcPr>
            <w:tcW w:w="1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300" w:type="dxa"/>
            <w:vAlign w:val="bottom"/>
            <w:gridSpan w:val="9"/>
          </w:tcPr>
          <w:p>
            <w:pPr>
              <w:jc w:val="center"/>
              <w:ind w:right="3140"/>
              <w:spacing w:after="0" w:line="176" w:lineRule="exact"/>
              <w:rPr>
                <w:rFonts w:ascii="Arial" w:cs="Arial" w:eastAsia="Arial" w:hAnsi="Arial"/>
                <w:sz w:val="18"/>
                <w:szCs w:val="18"/>
                <w:b w:val="1"/>
                <w:bCs w:val="1"/>
                <w:color w:val="0000EE"/>
              </w:rPr>
            </w:pPr>
            <w:hyperlink w:anchor="page21">
              <w:r>
                <w:rPr>
                  <w:rFonts w:ascii="Arial" w:cs="Arial" w:eastAsia="Arial" w:hAnsi="Arial"/>
                  <w:sz w:val="18"/>
                  <w:szCs w:val="18"/>
                  <w:b w:val="1"/>
                  <w:bCs w:val="1"/>
                  <w:color w:val="0000EE"/>
                </w:rPr>
                <w:t>PART II – OTHER INFORMATION</w:t>
              </w:r>
            </w:hyperlink>
          </w:p>
        </w:tc>
        <w:tc>
          <w:tcPr>
            <w:tcW w:w="660" w:type="dxa"/>
            <w:vAlign w:val="bottom"/>
          </w:tcPr>
          <w:p>
            <w:pPr>
              <w:spacing w:after="0"/>
              <w:rPr>
                <w:sz w:val="15"/>
                <w:szCs w:val="15"/>
                <w:color w:val="auto"/>
              </w:rPr>
            </w:pPr>
          </w:p>
        </w:tc>
      </w:tr>
      <w:tr>
        <w:trPr>
          <w:trHeight w:val="21"/>
        </w:trPr>
        <w:tc>
          <w:tcPr>
            <w:tcW w:w="1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16"/>
        </w:trPr>
        <w:tc>
          <w:tcPr>
            <w:tcW w:w="1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176"/>
        </w:trPr>
        <w:tc>
          <w:tcPr>
            <w:tcW w:w="1140" w:type="dxa"/>
            <w:vAlign w:val="bottom"/>
          </w:tcPr>
          <w:p>
            <w:pPr>
              <w:spacing w:after="0" w:line="176" w:lineRule="exact"/>
              <w:rPr>
                <w:sz w:val="20"/>
                <w:szCs w:val="20"/>
                <w:color w:val="auto"/>
              </w:rPr>
            </w:pPr>
            <w:r>
              <w:rPr>
                <w:rFonts w:ascii="Arial" w:cs="Arial" w:eastAsia="Arial" w:hAnsi="Arial"/>
                <w:sz w:val="18"/>
                <w:szCs w:val="18"/>
                <w:color w:val="auto"/>
              </w:rPr>
              <w:t>Item 1:</w:t>
            </w:r>
          </w:p>
        </w:tc>
        <w:tc>
          <w:tcPr>
            <w:tcW w:w="9440" w:type="dxa"/>
            <w:vAlign w:val="bottom"/>
            <w:gridSpan w:val="18"/>
          </w:tcPr>
          <w:p>
            <w:pPr>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Legal Proceedings</w:t>
              </w:r>
            </w:hyperlink>
          </w:p>
        </w:tc>
        <w:tc>
          <w:tcPr>
            <w:tcW w:w="660" w:type="dxa"/>
            <w:vAlign w:val="bottom"/>
          </w:tcPr>
          <w:p>
            <w:pPr>
              <w:jc w:val="center"/>
              <w:spacing w:after="0" w:line="176" w:lineRule="exact"/>
              <w:rPr>
                <w:sz w:val="20"/>
                <w:szCs w:val="20"/>
                <w:color w:val="auto"/>
              </w:rPr>
            </w:pPr>
            <w:r>
              <w:rPr>
                <w:rFonts w:ascii="Arial" w:cs="Arial" w:eastAsia="Arial" w:hAnsi="Arial"/>
                <w:sz w:val="18"/>
                <w:szCs w:val="18"/>
                <w:color w:val="auto"/>
                <w:w w:val="89"/>
              </w:rPr>
              <w:t>19</w:t>
            </w:r>
          </w:p>
        </w:tc>
      </w:tr>
      <w:tr>
        <w:trPr>
          <w:trHeight w:val="20"/>
        </w:trPr>
        <w:tc>
          <w:tcPr>
            <w:tcW w:w="11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76"/>
        </w:trPr>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1A:</w:t>
            </w:r>
          </w:p>
        </w:tc>
        <w:tc>
          <w:tcPr>
            <w:tcW w:w="9440" w:type="dxa"/>
            <w:vAlign w:val="bottom"/>
            <w:gridSpan w:val="18"/>
            <w:shd w:val="clear" w:color="auto" w:fill="CCEEFF"/>
          </w:tcPr>
          <w:p>
            <w:pPr>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Risk Factors</w:t>
              </w:r>
            </w:hyperlink>
          </w:p>
        </w:tc>
        <w:tc>
          <w:tcPr>
            <w:tcW w:w="6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19</w:t>
            </w:r>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9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Arial" w:cs="Arial" w:eastAsia="Arial" w:hAnsi="Arial"/>
                <w:sz w:val="18"/>
                <w:szCs w:val="18"/>
                <w:color w:val="auto"/>
              </w:rPr>
              <w:t>Item 2:</w:t>
            </w:r>
          </w:p>
        </w:tc>
        <w:tc>
          <w:tcPr>
            <w:tcW w:w="9440" w:type="dxa"/>
            <w:vAlign w:val="bottom"/>
            <w:gridSpan w:val="18"/>
          </w:tcPr>
          <w:p>
            <w:pPr>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Unregistered Sales of Equity Securities and Use of Proceeds</w:t>
              </w:r>
            </w:hyperlink>
          </w:p>
        </w:tc>
        <w:tc>
          <w:tcPr>
            <w:tcW w:w="660" w:type="dxa"/>
            <w:vAlign w:val="bottom"/>
          </w:tcPr>
          <w:p>
            <w:pPr>
              <w:jc w:val="center"/>
              <w:spacing w:after="0" w:line="176" w:lineRule="exact"/>
              <w:rPr>
                <w:sz w:val="20"/>
                <w:szCs w:val="20"/>
                <w:color w:val="auto"/>
              </w:rPr>
            </w:pPr>
            <w:r>
              <w:rPr>
                <w:rFonts w:ascii="Arial" w:cs="Arial" w:eastAsia="Arial" w:hAnsi="Arial"/>
                <w:sz w:val="18"/>
                <w:szCs w:val="18"/>
                <w:color w:val="auto"/>
                <w:w w:val="89"/>
              </w:rPr>
              <w:t>19</w:t>
            </w:r>
          </w:p>
        </w:tc>
      </w:tr>
      <w:tr>
        <w:trPr>
          <w:trHeight w:val="21"/>
        </w:trPr>
        <w:tc>
          <w:tcPr>
            <w:tcW w:w="11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9440" w:type="dxa"/>
            <w:vAlign w:val="bottom"/>
            <w:gridSpan w:val="18"/>
            <w:shd w:val="clear" w:color="auto" w:fill="CCEEFF"/>
          </w:tcPr>
          <w:p>
            <w:pPr>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Defaults Upon Senior Securities</w:t>
              </w:r>
            </w:hyperlink>
          </w:p>
        </w:tc>
        <w:tc>
          <w:tcPr>
            <w:tcW w:w="6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20</w:t>
            </w:r>
          </w:p>
        </w:tc>
      </w:tr>
      <w:tr>
        <w:trPr>
          <w:trHeight w:val="176"/>
        </w:trPr>
        <w:tc>
          <w:tcPr>
            <w:tcW w:w="114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Item 4:</w:t>
            </w:r>
          </w:p>
        </w:tc>
        <w:tc>
          <w:tcPr>
            <w:tcW w:w="2320" w:type="dxa"/>
            <w:vAlign w:val="bottom"/>
            <w:tcBorders>
              <w:top w:val="single" w:sz="8" w:color="0000EE"/>
            </w:tcBorders>
            <w:gridSpan w:val="7"/>
          </w:tcPr>
          <w:p>
            <w:pPr>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Mine Safety Disclosure</w:t>
              </w:r>
            </w:hyperlink>
          </w:p>
        </w:tc>
        <w:tc>
          <w:tcPr>
            <w:tcW w:w="7120" w:type="dxa"/>
            <w:vAlign w:val="bottom"/>
            <w:tcBorders>
              <w:top w:val="single" w:sz="8" w:color="CCEEFF"/>
            </w:tcBorders>
            <w:gridSpan w:val="11"/>
          </w:tcPr>
          <w:p>
            <w:pPr>
              <w:spacing w:after="0"/>
              <w:rPr>
                <w:sz w:val="15"/>
                <w:szCs w:val="15"/>
                <w:color w:val="auto"/>
              </w:rPr>
            </w:pPr>
          </w:p>
        </w:tc>
        <w:tc>
          <w:tcPr>
            <w:tcW w:w="66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20</w:t>
            </w:r>
          </w:p>
        </w:tc>
      </w:tr>
      <w:tr>
        <w:trPr>
          <w:trHeight w:val="20"/>
        </w:trPr>
        <w:tc>
          <w:tcPr>
            <w:tcW w:w="11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Item 5:</w:t>
            </w:r>
          </w:p>
        </w:tc>
        <w:tc>
          <w:tcPr>
            <w:tcW w:w="132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w w:val="92"/>
              </w:rPr>
            </w:pPr>
            <w:hyperlink w:anchor="page22">
              <w:r>
                <w:rPr>
                  <w:rFonts w:ascii="Arial" w:cs="Arial" w:eastAsia="Arial" w:hAnsi="Arial"/>
                  <w:sz w:val="18"/>
                  <w:szCs w:val="18"/>
                  <w:color w:val="0000EE"/>
                  <w:w w:val="92"/>
                </w:rPr>
                <w:t>Other Information</w:t>
              </w:r>
            </w:hyperlink>
          </w:p>
        </w:tc>
        <w:tc>
          <w:tcPr>
            <w:tcW w:w="8120" w:type="dxa"/>
            <w:vAlign w:val="bottom"/>
            <w:tcBorders>
              <w:bottom w:val="single" w:sz="8" w:color="CCEEFF"/>
            </w:tcBorders>
            <w:gridSpan w:val="15"/>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20</w:t>
            </w:r>
          </w:p>
        </w:tc>
      </w:tr>
      <w:tr>
        <w:trPr>
          <w:trHeight w:val="176"/>
        </w:trPr>
        <w:tc>
          <w:tcPr>
            <w:tcW w:w="1140" w:type="dxa"/>
            <w:vAlign w:val="bottom"/>
          </w:tcPr>
          <w:p>
            <w:pPr>
              <w:spacing w:after="0" w:line="176" w:lineRule="exact"/>
              <w:rPr>
                <w:sz w:val="20"/>
                <w:szCs w:val="20"/>
                <w:color w:val="auto"/>
              </w:rPr>
            </w:pPr>
            <w:r>
              <w:rPr>
                <w:rFonts w:ascii="Arial" w:cs="Arial" w:eastAsia="Arial" w:hAnsi="Arial"/>
                <w:sz w:val="18"/>
                <w:szCs w:val="18"/>
                <w:color w:val="auto"/>
              </w:rPr>
              <w:t>Item 6:</w:t>
            </w:r>
          </w:p>
        </w:tc>
        <w:tc>
          <w:tcPr>
            <w:tcW w:w="9440" w:type="dxa"/>
            <w:vAlign w:val="bottom"/>
            <w:gridSpan w:val="18"/>
          </w:tcPr>
          <w:p>
            <w:pPr>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Exhibits</w:t>
              </w:r>
            </w:hyperlink>
          </w:p>
        </w:tc>
        <w:tc>
          <w:tcPr>
            <w:tcW w:w="660" w:type="dxa"/>
            <w:vAlign w:val="bottom"/>
          </w:tcPr>
          <w:p>
            <w:pPr>
              <w:jc w:val="center"/>
              <w:spacing w:after="0" w:line="176" w:lineRule="exact"/>
              <w:rPr>
                <w:sz w:val="20"/>
                <w:szCs w:val="20"/>
                <w:color w:val="auto"/>
              </w:rPr>
            </w:pPr>
            <w:r>
              <w:rPr>
                <w:rFonts w:ascii="Arial" w:cs="Arial" w:eastAsia="Arial" w:hAnsi="Arial"/>
                <w:sz w:val="18"/>
                <w:szCs w:val="18"/>
                <w:color w:val="auto"/>
                <w:w w:val="89"/>
              </w:rPr>
              <w:t>20</w:t>
            </w:r>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0580" w:type="dxa"/>
            <w:vAlign w:val="bottom"/>
            <w:gridSpan w:val="6"/>
          </w:tcPr>
          <w:p>
            <w:pPr>
              <w:jc w:val="center"/>
              <w:ind w:left="570"/>
              <w:spacing w:after="0"/>
              <w:rPr>
                <w:sz w:val="20"/>
                <w:szCs w:val="20"/>
                <w:color w:val="auto"/>
              </w:rPr>
            </w:pPr>
            <w:r>
              <w:rPr>
                <w:rFonts w:ascii="Arial" w:cs="Arial" w:eastAsia="Arial" w:hAnsi="Arial"/>
                <w:sz w:val="18"/>
                <w:szCs w:val="18"/>
                <w:b w:val="1"/>
                <w:bCs w:val="1"/>
                <w:color w:val="auto"/>
              </w:rPr>
              <w:t>PART I - FINANCIAL INFORMATION</w:t>
            </w:r>
          </w:p>
        </w:tc>
        <w:tc>
          <w:tcPr>
            <w:tcW w:w="660" w:type="dxa"/>
            <w:vAlign w:val="bottom"/>
          </w:tcPr>
          <w:p>
            <w:pPr>
              <w:spacing w:after="0"/>
              <w:rPr>
                <w:sz w:val="20"/>
                <w:szCs w:val="20"/>
                <w:color w:val="auto"/>
              </w:rPr>
            </w:pPr>
          </w:p>
        </w:tc>
      </w:tr>
      <w:tr>
        <w:trPr>
          <w:trHeight w:val="432"/>
        </w:trPr>
        <w:tc>
          <w:tcPr>
            <w:tcW w:w="10580" w:type="dxa"/>
            <w:vAlign w:val="bottom"/>
            <w:gridSpan w:val="6"/>
          </w:tcPr>
          <w:p>
            <w:pPr>
              <w:spacing w:after="0"/>
              <w:rPr>
                <w:sz w:val="20"/>
                <w:szCs w:val="20"/>
                <w:color w:val="auto"/>
              </w:rPr>
            </w:pPr>
            <w:r>
              <w:rPr>
                <w:rFonts w:ascii="Arial" w:cs="Arial" w:eastAsia="Arial" w:hAnsi="Arial"/>
                <w:sz w:val="18"/>
                <w:szCs w:val="18"/>
                <w:b w:val="1"/>
                <w:bCs w:val="1"/>
                <w:color w:val="auto"/>
              </w:rPr>
              <w:t>Item 1. Financial Statements</w:t>
            </w:r>
          </w:p>
        </w:tc>
        <w:tc>
          <w:tcPr>
            <w:tcW w:w="660" w:type="dxa"/>
            <w:vAlign w:val="bottom"/>
          </w:tcPr>
          <w:p>
            <w:pPr>
              <w:spacing w:after="0"/>
              <w:rPr>
                <w:sz w:val="24"/>
                <w:szCs w:val="24"/>
                <w:color w:val="auto"/>
              </w:rPr>
            </w:pPr>
          </w:p>
        </w:tc>
      </w:tr>
      <w:tr>
        <w:trPr>
          <w:trHeight w:val="432"/>
        </w:trPr>
        <w:tc>
          <w:tcPr>
            <w:tcW w:w="10580" w:type="dxa"/>
            <w:vAlign w:val="bottom"/>
            <w:gridSpan w:val="6"/>
          </w:tcPr>
          <w:p>
            <w:pPr>
              <w:spacing w:after="0"/>
              <w:rPr>
                <w:sz w:val="20"/>
                <w:szCs w:val="20"/>
                <w:color w:val="auto"/>
              </w:rPr>
            </w:pPr>
            <w:r>
              <w:rPr>
                <w:rFonts w:ascii="Arial" w:cs="Arial" w:eastAsia="Arial" w:hAnsi="Arial"/>
                <w:sz w:val="18"/>
                <w:szCs w:val="18"/>
                <w:color w:val="auto"/>
              </w:rPr>
              <w:t>Our condensed consolidated financial statements included in this Form 10-Q are as follows:</w:t>
            </w:r>
          </w:p>
        </w:tc>
        <w:tc>
          <w:tcPr>
            <w:tcW w:w="660" w:type="dxa"/>
            <w:vAlign w:val="bottom"/>
          </w:tcPr>
          <w:p>
            <w:pPr>
              <w:spacing w:after="0"/>
              <w:rPr>
                <w:sz w:val="24"/>
                <w:szCs w:val="24"/>
                <w:color w:val="auto"/>
              </w:rPr>
            </w:pPr>
          </w:p>
        </w:tc>
      </w:tr>
      <w:tr>
        <w:trPr>
          <w:trHeight w:val="414"/>
        </w:trPr>
        <w:tc>
          <w:tcPr>
            <w:tcW w:w="49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8"/>
                <w:szCs w:val="18"/>
                <w:b w:val="1"/>
                <w:bCs w:val="1"/>
                <w:color w:val="auto"/>
                <w:w w:val="88"/>
              </w:rPr>
              <w:t>Page</w:t>
            </w:r>
          </w:p>
        </w:tc>
      </w:tr>
      <w:tr>
        <w:trPr>
          <w:trHeight w:val="241"/>
        </w:trPr>
        <w:tc>
          <w:tcPr>
            <w:tcW w:w="492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w:t>
            </w:r>
          </w:p>
        </w:tc>
      </w:tr>
      <w:tr>
        <w:trPr>
          <w:trHeight w:val="176"/>
        </w:trPr>
        <w:tc>
          <w:tcPr>
            <w:tcW w:w="10580" w:type="dxa"/>
            <w:vAlign w:val="bottom"/>
            <w:gridSpan w:val="6"/>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 as of June 30, 2021 (unaudited) and December 31, 2020 (unaudited);</w:t>
              </w:r>
            </w:hyperlink>
          </w:p>
        </w:tc>
        <w:tc>
          <w:tcPr>
            <w:tcW w:w="6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2</w:t>
            </w:r>
          </w:p>
        </w:tc>
      </w:tr>
      <w:tr>
        <w:trPr>
          <w:trHeight w:val="21"/>
        </w:trPr>
        <w:tc>
          <w:tcPr>
            <w:tcW w:w="4920" w:type="dxa"/>
            <w:vAlign w:val="bottom"/>
            <w:tcBorders>
              <w:top w:val="single" w:sz="8" w:color="0000EE"/>
            </w:tcBorders>
            <w:shd w:val="clear" w:color="auto" w:fill="CCEEFF"/>
          </w:tcPr>
          <w:p>
            <w:pPr>
              <w:spacing w:after="0" w:line="20" w:lineRule="exact"/>
              <w:rPr>
                <w:sz w:val="1"/>
                <w:szCs w:val="1"/>
                <w:color w:val="auto"/>
              </w:rPr>
            </w:pPr>
          </w:p>
        </w:tc>
        <w:tc>
          <w:tcPr>
            <w:tcW w:w="30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580" w:type="dxa"/>
            <w:vAlign w:val="bottom"/>
            <w:gridSpan w:val="6"/>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Operations for the three and six months ended June 30, 2021 and 2020 (unaudited);</w:t>
              </w:r>
            </w:hyperlink>
          </w:p>
        </w:tc>
        <w:tc>
          <w:tcPr>
            <w:tcW w:w="660" w:type="dxa"/>
            <w:vAlign w:val="bottom"/>
          </w:tcPr>
          <w:p>
            <w:pPr>
              <w:jc w:val="center"/>
              <w:spacing w:after="0" w:line="176" w:lineRule="exact"/>
              <w:rPr>
                <w:sz w:val="20"/>
                <w:szCs w:val="20"/>
                <w:color w:val="auto"/>
              </w:rPr>
            </w:pPr>
            <w:r>
              <w:rPr>
                <w:rFonts w:ascii="Arial" w:cs="Arial" w:eastAsia="Arial" w:hAnsi="Arial"/>
                <w:sz w:val="18"/>
                <w:szCs w:val="18"/>
                <w:color w:val="auto"/>
                <w:w w:val="99"/>
              </w:rPr>
              <w:t>3</w:t>
            </w:r>
          </w:p>
        </w:tc>
      </w:tr>
      <w:tr>
        <w:trPr>
          <w:trHeight w:val="21"/>
        </w:trPr>
        <w:tc>
          <w:tcPr>
            <w:tcW w:w="4920" w:type="dxa"/>
            <w:vAlign w:val="bottom"/>
            <w:tcBorders>
              <w:top w:val="single" w:sz="8" w:color="0000EE"/>
            </w:tcBorders>
          </w:tcPr>
          <w:p>
            <w:pPr>
              <w:spacing w:after="0" w:line="20" w:lineRule="exact"/>
              <w:rPr>
                <w:sz w:val="1"/>
                <w:szCs w:val="1"/>
                <w:color w:val="auto"/>
              </w:rPr>
            </w:pPr>
          </w:p>
        </w:tc>
        <w:tc>
          <w:tcPr>
            <w:tcW w:w="30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75"/>
        </w:trPr>
        <w:tc>
          <w:tcPr>
            <w:tcW w:w="10580" w:type="dxa"/>
            <w:vAlign w:val="bottom"/>
            <w:gridSpan w:val="6"/>
            <w:shd w:val="clear" w:color="auto" w:fill="CCEEFF"/>
          </w:tcPr>
          <w:p>
            <w:pPr>
              <w:spacing w:after="0" w:line="176" w:lineRule="exact"/>
              <w:rPr>
                <w:rFonts w:ascii="Arial" w:cs="Arial" w:eastAsia="Arial" w:hAnsi="Arial"/>
                <w:sz w:val="18"/>
                <w:szCs w:val="18"/>
                <w:color w:val="0000EE"/>
                <w:w w:val="97"/>
              </w:rPr>
            </w:pPr>
            <w:hyperlink w:anchor="page6">
              <w:r>
                <w:rPr>
                  <w:rFonts w:ascii="Arial" w:cs="Arial" w:eastAsia="Arial" w:hAnsi="Arial"/>
                  <w:sz w:val="18"/>
                  <w:szCs w:val="18"/>
                  <w:color w:val="0000EE"/>
                  <w:w w:val="97"/>
                </w:rPr>
                <w:t>Condensed Consolidated Statements of Changes in Stockholders’ Equity for the three and six months ended June 30, 2021 (unaudited)</w:t>
              </w:r>
            </w:hyperlink>
          </w:p>
        </w:tc>
        <w:tc>
          <w:tcPr>
            <w:tcW w:w="6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4</w:t>
            </w:r>
          </w:p>
        </w:tc>
      </w:tr>
      <w:tr>
        <w:trPr>
          <w:trHeight w:val="21"/>
        </w:trPr>
        <w:tc>
          <w:tcPr>
            <w:tcW w:w="4920" w:type="dxa"/>
            <w:vAlign w:val="bottom"/>
            <w:tcBorders>
              <w:top w:val="single" w:sz="8" w:color="0000EE"/>
            </w:tcBorders>
            <w:shd w:val="clear" w:color="auto" w:fill="CCEEFF"/>
          </w:tcPr>
          <w:p>
            <w:pPr>
              <w:spacing w:after="0" w:line="20" w:lineRule="exact"/>
              <w:rPr>
                <w:sz w:val="1"/>
                <w:szCs w:val="1"/>
                <w:color w:val="auto"/>
              </w:rPr>
            </w:pPr>
          </w:p>
        </w:tc>
        <w:tc>
          <w:tcPr>
            <w:tcW w:w="30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580" w:type="dxa"/>
            <w:vAlign w:val="bottom"/>
            <w:gridSpan w:val="6"/>
          </w:tcPr>
          <w:p>
            <w:pPr>
              <w:spacing w:after="0" w:line="176" w:lineRule="exact"/>
              <w:rPr>
                <w:rFonts w:ascii="Arial" w:cs="Arial" w:eastAsia="Arial" w:hAnsi="Arial"/>
                <w:sz w:val="18"/>
                <w:szCs w:val="18"/>
                <w:color w:val="0000EE"/>
                <w:w w:val="97"/>
              </w:rPr>
            </w:pPr>
            <w:hyperlink w:anchor="page7">
              <w:r>
                <w:rPr>
                  <w:rFonts w:ascii="Arial" w:cs="Arial" w:eastAsia="Arial" w:hAnsi="Arial"/>
                  <w:sz w:val="18"/>
                  <w:szCs w:val="18"/>
                  <w:color w:val="0000EE"/>
                  <w:w w:val="97"/>
                </w:rPr>
                <w:t>Condensed Consolidated Statements of Changes in Stockholders’ Equity for the three and six months ended June 30, 2020 (unaudited)</w:t>
              </w:r>
            </w:hyperlink>
          </w:p>
        </w:tc>
        <w:tc>
          <w:tcPr>
            <w:tcW w:w="660" w:type="dxa"/>
            <w:vAlign w:val="bottom"/>
          </w:tcPr>
          <w:p>
            <w:pPr>
              <w:jc w:val="center"/>
              <w:spacing w:after="0" w:line="176" w:lineRule="exact"/>
              <w:rPr>
                <w:sz w:val="20"/>
                <w:szCs w:val="20"/>
                <w:color w:val="auto"/>
              </w:rPr>
            </w:pPr>
            <w:r>
              <w:rPr>
                <w:rFonts w:ascii="Arial" w:cs="Arial" w:eastAsia="Arial" w:hAnsi="Arial"/>
                <w:sz w:val="18"/>
                <w:szCs w:val="18"/>
                <w:color w:val="auto"/>
                <w:w w:val="99"/>
              </w:rPr>
              <w:t>5</w:t>
            </w:r>
          </w:p>
        </w:tc>
      </w:tr>
      <w:tr>
        <w:trPr>
          <w:trHeight w:val="20"/>
        </w:trPr>
        <w:tc>
          <w:tcPr>
            <w:tcW w:w="4920" w:type="dxa"/>
            <w:vAlign w:val="bottom"/>
            <w:tcBorders>
              <w:top w:val="single" w:sz="8" w:color="0000EE"/>
            </w:tcBorders>
          </w:tcPr>
          <w:p>
            <w:pPr>
              <w:spacing w:after="0" w:line="20" w:lineRule="exact"/>
              <w:rPr>
                <w:sz w:val="1"/>
                <w:szCs w:val="1"/>
                <w:color w:val="auto"/>
              </w:rPr>
            </w:pPr>
          </w:p>
        </w:tc>
        <w:tc>
          <w:tcPr>
            <w:tcW w:w="30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10580" w:type="dxa"/>
            <w:vAlign w:val="bottom"/>
            <w:gridSpan w:val="6"/>
            <w:shd w:val="clear" w:color="auto" w:fill="CCEEFF"/>
          </w:tcPr>
          <w:p>
            <w:pPr>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Condensed Consolidated Statements of Cash Flows for the six months ended June 30, 2021 and 2020 (unaudited);</w:t>
              </w:r>
            </w:hyperlink>
          </w:p>
        </w:tc>
        <w:tc>
          <w:tcPr>
            <w:tcW w:w="6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6</w:t>
            </w:r>
          </w:p>
        </w:tc>
      </w:tr>
      <w:tr>
        <w:trPr>
          <w:trHeight w:val="176"/>
        </w:trPr>
        <w:tc>
          <w:tcPr>
            <w:tcW w:w="8220" w:type="dxa"/>
            <w:vAlign w:val="bottom"/>
            <w:tcBorders>
              <w:top w:val="single" w:sz="8" w:color="0000EE"/>
            </w:tcBorders>
            <w:gridSpan w:val="3"/>
          </w:tcPr>
          <w:p>
            <w:pPr>
              <w:spacing w:after="0" w:line="176" w:lineRule="exact"/>
              <w:rPr>
                <w:rFonts w:ascii="Arial" w:cs="Arial" w:eastAsia="Arial" w:hAnsi="Arial"/>
                <w:sz w:val="18"/>
                <w:szCs w:val="18"/>
                <w:color w:val="0000EE"/>
              </w:rPr>
            </w:pPr>
            <w:hyperlink w:anchor="page9">
              <w:r>
                <w:rPr>
                  <w:rFonts w:ascii="Arial" w:cs="Arial" w:eastAsia="Arial" w:hAnsi="Arial"/>
                  <w:sz w:val="18"/>
                  <w:szCs w:val="18"/>
                  <w:color w:val="0000EE"/>
                </w:rPr>
                <w:t>Notes to Condensed Consolidated Financial Statements (unaudited).</w:t>
              </w:r>
            </w:hyperlink>
          </w:p>
        </w:tc>
        <w:tc>
          <w:tcPr>
            <w:tcW w:w="2360" w:type="dxa"/>
            <w:vAlign w:val="bottom"/>
            <w:tcBorders>
              <w:top w:val="single" w:sz="8" w:color="CCEEFF"/>
            </w:tcBorders>
            <w:gridSpan w:val="3"/>
          </w:tcPr>
          <w:p>
            <w:pPr>
              <w:spacing w:after="0"/>
              <w:rPr>
                <w:sz w:val="15"/>
                <w:szCs w:val="15"/>
                <w:color w:val="auto"/>
              </w:rPr>
            </w:pPr>
          </w:p>
        </w:tc>
        <w:tc>
          <w:tcPr>
            <w:tcW w:w="66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99"/>
              </w:rPr>
              <w:t>7</w:t>
            </w:r>
          </w:p>
        </w:tc>
      </w:tr>
      <w:tr>
        <w:trPr>
          <w:trHeight w:val="675"/>
        </w:trPr>
        <w:tc>
          <w:tcPr>
            <w:tcW w:w="4920" w:type="dxa"/>
            <w:vAlign w:val="bottom"/>
            <w:tcBorders>
              <w:top w:val="single" w:sz="8" w:color="0000EE"/>
              <w:bottom w:val="single" w:sz="8" w:color="auto"/>
            </w:tcBorders>
          </w:tcPr>
          <w:p>
            <w:pPr>
              <w:spacing w:after="0"/>
              <w:rPr>
                <w:sz w:val="24"/>
                <w:szCs w:val="24"/>
                <w:color w:val="auto"/>
              </w:rPr>
            </w:pPr>
          </w:p>
        </w:tc>
        <w:tc>
          <w:tcPr>
            <w:tcW w:w="3020" w:type="dxa"/>
            <w:vAlign w:val="bottom"/>
            <w:tcBorders>
              <w:bottom w:val="single" w:sz="8" w:color="auto"/>
            </w:tcBorders>
          </w:tcPr>
          <w:p>
            <w:pPr>
              <w:jc w:val="right"/>
              <w:ind w:right="2190"/>
              <w:spacing w:after="0"/>
              <w:rPr>
                <w:sz w:val="20"/>
                <w:szCs w:val="20"/>
                <w:color w:val="auto"/>
              </w:rPr>
            </w:pPr>
            <w:r>
              <w:rPr>
                <w:rFonts w:ascii="Arial" w:cs="Arial" w:eastAsia="Arial" w:hAnsi="Arial"/>
                <w:sz w:val="18"/>
                <w:szCs w:val="18"/>
                <w:color w:val="auto"/>
              </w:rPr>
              <w:t>1</w:t>
            </w:r>
          </w:p>
        </w:tc>
        <w:tc>
          <w:tcPr>
            <w:tcW w:w="2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7" w:right="339" w:bottom="1440"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color w:val="auto"/>
        </w:rPr>
        <w:t>Current Assets</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Cash and cash equivalents</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7"/>
          <w:szCs w:val="17"/>
          <w:color w:val="auto"/>
        </w:rPr>
        <w:t>Accounts receivable, net</w:t>
      </w:r>
    </w:p>
    <w:p>
      <w:pPr>
        <w:spacing w:after="0" w:line="21" w:lineRule="exact"/>
        <w:rPr>
          <w:sz w:val="20"/>
          <w:szCs w:val="20"/>
          <w:color w:val="auto"/>
        </w:rPr>
      </w:pPr>
    </w:p>
    <w:p>
      <w:pPr>
        <w:jc w:val="both"/>
        <w:ind w:right="100" w:firstLine="180"/>
        <w:spacing w:after="0" w:line="298" w:lineRule="auto"/>
        <w:rPr>
          <w:sz w:val="20"/>
          <w:szCs w:val="20"/>
          <w:color w:val="auto"/>
        </w:rPr>
      </w:pPr>
      <w:r>
        <w:rPr>
          <w:rFonts w:ascii="Arial" w:cs="Arial" w:eastAsia="Arial" w:hAnsi="Arial"/>
          <w:sz w:val="17"/>
          <w:szCs w:val="17"/>
          <w:color w:val="auto"/>
        </w:rPr>
        <w:t>Prepaid expenses Total Current Assets Property and equipment, net</w:t>
      </w:r>
    </w:p>
    <w:p>
      <w:pPr>
        <w:spacing w:after="0"/>
        <w:rPr>
          <w:sz w:val="20"/>
          <w:szCs w:val="20"/>
          <w:color w:val="auto"/>
        </w:rPr>
      </w:pPr>
      <w:r>
        <w:rPr>
          <w:rFonts w:ascii="Arial" w:cs="Arial" w:eastAsia="Arial" w:hAnsi="Arial"/>
          <w:sz w:val="18"/>
          <w:szCs w:val="18"/>
          <w:color w:val="auto"/>
        </w:rPr>
        <w:t>Other Assets</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Goodwill</w:t>
      </w:r>
    </w:p>
    <w:p>
      <w:pPr>
        <w:spacing w:after="0" w:line="9" w:lineRule="exact"/>
        <w:rPr>
          <w:sz w:val="20"/>
          <w:szCs w:val="20"/>
          <w:color w:val="auto"/>
        </w:rPr>
      </w:pPr>
    </w:p>
    <w:p>
      <w:pPr>
        <w:ind w:left="180" w:right="340"/>
        <w:spacing w:after="0" w:line="265" w:lineRule="auto"/>
        <w:rPr>
          <w:sz w:val="20"/>
          <w:szCs w:val="20"/>
          <w:color w:val="auto"/>
        </w:rPr>
      </w:pPr>
      <w:r>
        <w:rPr>
          <w:rFonts w:ascii="Arial" w:cs="Arial" w:eastAsia="Arial" w:hAnsi="Arial"/>
          <w:sz w:val="17"/>
          <w:szCs w:val="17"/>
          <w:color w:val="auto"/>
        </w:rPr>
        <w:t>Technology assets, net Patent rights, net</w:t>
      </w:r>
    </w:p>
    <w:p>
      <w:pPr>
        <w:ind w:left="180"/>
        <w:spacing w:after="0"/>
        <w:rPr>
          <w:sz w:val="20"/>
          <w:szCs w:val="20"/>
          <w:color w:val="auto"/>
        </w:rPr>
      </w:pPr>
      <w:r>
        <w:rPr>
          <w:rFonts w:ascii="Arial" w:cs="Arial" w:eastAsia="Arial" w:hAnsi="Arial"/>
          <w:sz w:val="16"/>
          <w:szCs w:val="16"/>
          <w:color w:val="auto"/>
        </w:rPr>
        <w:t>Other intangible assets, net</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Right of use assets, net</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Other assets and deposits</w:t>
      </w:r>
    </w:p>
    <w:p>
      <w:pPr>
        <w:spacing w:after="0" w:line="45" w:lineRule="exact"/>
        <w:rPr>
          <w:sz w:val="20"/>
          <w:szCs w:val="20"/>
          <w:color w:val="auto"/>
        </w:rPr>
      </w:pPr>
    </w:p>
    <w:p>
      <w:pPr>
        <w:ind w:right="800"/>
        <w:spacing w:after="0" w:line="377" w:lineRule="auto"/>
        <w:rPr>
          <w:sz w:val="20"/>
          <w:szCs w:val="20"/>
          <w:color w:val="auto"/>
        </w:rPr>
      </w:pPr>
      <w:r>
        <w:rPr>
          <w:rFonts w:ascii="Arial" w:cs="Arial" w:eastAsia="Arial" w:hAnsi="Arial"/>
          <w:sz w:val="16"/>
          <w:szCs w:val="16"/>
          <w:color w:val="auto"/>
        </w:rPr>
        <w:t>Total Other Assets TOTAL ASSETS</w:t>
      </w:r>
    </w:p>
    <w:p>
      <w:pPr>
        <w:spacing w:after="0" w:line="20" w:lineRule="exact"/>
        <w:rPr>
          <w:sz w:val="20"/>
          <w:szCs w:val="20"/>
          <w:color w:val="auto"/>
        </w:rPr>
      </w:pPr>
      <w:r>
        <w:rPr>
          <w:sz w:val="20"/>
          <w:szCs w:val="20"/>
          <w:color w:val="auto"/>
        </w:rPr>
        <w:br w:type="column"/>
      </w:r>
    </w:p>
    <w:p>
      <w:pPr>
        <w:jc w:val="center"/>
        <w:ind w:right="2280"/>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2280"/>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207" w:lineRule="exact"/>
        <w:rPr>
          <w:sz w:val="20"/>
          <w:szCs w:val="20"/>
          <w:color w:val="auto"/>
        </w:rPr>
      </w:pPr>
    </w:p>
    <w:tbl>
      <w:tblPr>
        <w:tblLayout w:type="fixed"/>
        <w:tblInd w:w="6360" w:type="dxa"/>
        <w:tblCellMar>
          <w:top w:w="0" w:type="dxa"/>
          <w:left w:w="0" w:type="dxa"/>
          <w:bottom w:w="0" w:type="dxa"/>
          <w:right w:w="0" w:type="dxa"/>
        </w:tblCellMar>
      </w:tblPr>
      <w:tr>
        <w:trPr>
          <w:trHeight w:val="216"/>
        </w:trPr>
        <w:tc>
          <w:tcPr>
            <w:tcW w:w="1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June 30,</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8"/>
              </w:rPr>
              <w:t>December 31,</w:t>
            </w:r>
          </w:p>
        </w:tc>
      </w:tr>
      <w:tr>
        <w:trPr>
          <w:trHeight w:val="241"/>
        </w:trPr>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r>
    </w:tbl>
    <w:p>
      <w:pPr>
        <w:spacing w:after="0" w:line="198"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ASSETS</w:t>
      </w:r>
    </w:p>
    <w:p>
      <w:pPr>
        <w:spacing w:after="0" w:line="229" w:lineRule="exact"/>
        <w:rPr>
          <w:sz w:val="20"/>
          <w:szCs w:val="20"/>
          <w:color w:val="auto"/>
        </w:rPr>
      </w:pPr>
    </w:p>
    <w:p>
      <w:pPr>
        <w:jc w:val="both"/>
        <w:ind w:left="6360"/>
        <w:spacing w:after="0"/>
        <w:tabs>
          <w:tab w:leader="none" w:pos="6660" w:val="left"/>
          <w:tab w:leader="none" w:pos="7680" w:val="left"/>
          <w:tab w:leader="none" w:pos="7980" w:val="left"/>
        </w:tabs>
        <w:rPr>
          <w:sz w:val="20"/>
          <w:szCs w:val="20"/>
          <w:color w:val="auto"/>
        </w:rPr>
      </w:pPr>
      <w:r>
        <w:rPr>
          <w:rFonts w:ascii="Arial" w:cs="Arial" w:eastAsia="Arial" w:hAnsi="Arial"/>
          <w:sz w:val="18"/>
          <w:szCs w:val="18"/>
          <w:color w:val="auto"/>
        </w:rPr>
        <w:t>$</w:t>
        <w:tab/>
        <w:t>83,923,455</w:t>
        <w:tab/>
        <w:t>$</w:t>
      </w:r>
      <w:r>
        <w:rPr>
          <w:sz w:val="20"/>
          <w:szCs w:val="20"/>
          <w:color w:val="auto"/>
        </w:rPr>
        <w:tab/>
      </w:r>
      <w:r>
        <w:rPr>
          <w:rFonts w:ascii="Arial" w:cs="Arial" w:eastAsia="Arial" w:hAnsi="Arial"/>
          <w:sz w:val="16"/>
          <w:szCs w:val="16"/>
          <w:color w:val="auto"/>
        </w:rPr>
        <w:t>10,516,776</w:t>
      </w:r>
    </w:p>
    <w:p>
      <w:pPr>
        <w:spacing w:after="0" w:line="23" w:lineRule="exact"/>
        <w:rPr>
          <w:sz w:val="20"/>
          <w:szCs w:val="20"/>
          <w:color w:val="auto"/>
        </w:rPr>
      </w:pPr>
    </w:p>
    <w:p>
      <w:pPr>
        <w:jc w:val="both"/>
        <w:ind w:left="6680"/>
        <w:spacing w:after="0"/>
        <w:tabs>
          <w:tab w:leader="none" w:pos="7980" w:val="left"/>
        </w:tabs>
        <w:rPr>
          <w:sz w:val="20"/>
          <w:szCs w:val="20"/>
          <w:color w:val="auto"/>
        </w:rPr>
      </w:pPr>
      <w:r>
        <w:rPr>
          <w:rFonts w:ascii="Arial" w:cs="Arial" w:eastAsia="Arial" w:hAnsi="Arial"/>
          <w:sz w:val="18"/>
          <w:szCs w:val="18"/>
          <w:color w:val="auto"/>
        </w:rPr>
        <w:t>17,933,926</w:t>
      </w:r>
      <w:r>
        <w:rPr>
          <w:sz w:val="20"/>
          <w:szCs w:val="20"/>
          <w:color w:val="auto"/>
        </w:rPr>
        <w:tab/>
      </w:r>
      <w:r>
        <w:rPr>
          <w:rFonts w:ascii="Arial" w:cs="Arial" w:eastAsia="Arial" w:hAnsi="Arial"/>
          <w:sz w:val="18"/>
          <w:szCs w:val="18"/>
          <w:color w:val="auto"/>
        </w:rPr>
        <w:t>17,885,705</w:t>
      </w:r>
    </w:p>
    <w:p>
      <w:pPr>
        <w:spacing w:after="0" w:line="9" w:lineRule="exact"/>
        <w:rPr>
          <w:sz w:val="20"/>
          <w:szCs w:val="20"/>
          <w:color w:val="auto"/>
        </w:rPr>
      </w:pPr>
    </w:p>
    <w:p>
      <w:pPr>
        <w:ind w:left="6760"/>
        <w:spacing w:after="0"/>
        <w:tabs>
          <w:tab w:leader="none" w:pos="8080" w:val="left"/>
        </w:tabs>
        <w:rPr>
          <w:sz w:val="20"/>
          <w:szCs w:val="20"/>
          <w:color w:val="auto"/>
        </w:rPr>
      </w:pPr>
      <w:r>
        <w:rPr>
          <w:rFonts w:ascii="Arial" w:cs="Arial" w:eastAsia="Arial" w:hAnsi="Arial"/>
          <w:sz w:val="16"/>
          <w:szCs w:val="16"/>
          <w:color w:val="auto"/>
        </w:rPr>
        <w:t>3,124,479</w:t>
      </w:r>
      <w:r>
        <w:rPr>
          <w:sz w:val="20"/>
          <w:szCs w:val="20"/>
          <w:color w:val="auto"/>
        </w:rPr>
        <w:tab/>
      </w:r>
      <w:r>
        <w:rPr>
          <w:rFonts w:ascii="Arial" w:cs="Arial" w:eastAsia="Arial" w:hAnsi="Arial"/>
          <w:sz w:val="16"/>
          <w:szCs w:val="16"/>
          <w:color w:val="auto"/>
        </w:rPr>
        <w:t>4,456,611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4035425</wp:posOffset>
            </wp:positionH>
            <wp:positionV relativeFrom="paragraph">
              <wp:posOffset>29210</wp:posOffset>
            </wp:positionV>
            <wp:extent cx="156019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38" w:lineRule="exact"/>
        <w:rPr>
          <w:sz w:val="20"/>
          <w:szCs w:val="20"/>
          <w:color w:val="auto"/>
        </w:rPr>
      </w:pPr>
    </w:p>
    <w:p>
      <w:pPr>
        <w:jc w:val="both"/>
        <w:ind w:left="6580"/>
        <w:spacing w:after="0"/>
        <w:tabs>
          <w:tab w:leader="none" w:pos="7980" w:val="left"/>
        </w:tabs>
        <w:rPr>
          <w:sz w:val="20"/>
          <w:szCs w:val="20"/>
          <w:color w:val="auto"/>
        </w:rPr>
      </w:pPr>
      <w:r>
        <w:rPr>
          <w:rFonts w:ascii="Arial" w:cs="Arial" w:eastAsia="Arial" w:hAnsi="Arial"/>
          <w:sz w:val="18"/>
          <w:szCs w:val="18"/>
          <w:color w:val="auto"/>
        </w:rPr>
        <w:t>104,981,860</w:t>
      </w:r>
      <w:r>
        <w:rPr>
          <w:sz w:val="20"/>
          <w:szCs w:val="20"/>
          <w:color w:val="auto"/>
        </w:rPr>
        <w:tab/>
      </w:r>
      <w:r>
        <w:rPr>
          <w:rFonts w:ascii="Arial" w:cs="Arial" w:eastAsia="Arial" w:hAnsi="Arial"/>
          <w:sz w:val="18"/>
          <w:szCs w:val="18"/>
          <w:color w:val="auto"/>
        </w:rPr>
        <w:t>32,859,092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4035425</wp:posOffset>
            </wp:positionH>
            <wp:positionV relativeFrom="paragraph">
              <wp:posOffset>14605</wp:posOffset>
            </wp:positionV>
            <wp:extent cx="156019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16" w:lineRule="exact"/>
        <w:rPr>
          <w:sz w:val="20"/>
          <w:szCs w:val="20"/>
          <w:color w:val="auto"/>
        </w:rPr>
      </w:pPr>
    </w:p>
    <w:p>
      <w:pPr>
        <w:ind w:left="6900"/>
        <w:spacing w:after="0"/>
        <w:tabs>
          <w:tab w:leader="none" w:pos="8200" w:val="left"/>
        </w:tabs>
        <w:rPr>
          <w:sz w:val="20"/>
          <w:szCs w:val="20"/>
          <w:color w:val="auto"/>
        </w:rPr>
      </w:pPr>
      <w:r>
        <w:rPr>
          <w:rFonts w:ascii="Arial" w:cs="Arial" w:eastAsia="Arial" w:hAnsi="Arial"/>
          <w:sz w:val="16"/>
          <w:szCs w:val="16"/>
          <w:color w:val="auto"/>
        </w:rPr>
        <w:t>137,813</w:t>
      </w:r>
      <w:r>
        <w:rPr>
          <w:sz w:val="20"/>
          <w:szCs w:val="20"/>
          <w:color w:val="auto"/>
        </w:rPr>
        <w:tab/>
      </w:r>
      <w:r>
        <w:rPr>
          <w:rFonts w:ascii="Arial" w:cs="Arial" w:eastAsia="Arial" w:hAnsi="Arial"/>
          <w:sz w:val="16"/>
          <w:szCs w:val="16"/>
          <w:color w:val="auto"/>
        </w:rPr>
        <w:t>148,854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4035425</wp:posOffset>
            </wp:positionH>
            <wp:positionV relativeFrom="paragraph">
              <wp:posOffset>29210</wp:posOffset>
            </wp:positionV>
            <wp:extent cx="156019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255" w:lineRule="exact"/>
        <w:rPr>
          <w:sz w:val="20"/>
          <w:szCs w:val="20"/>
          <w:color w:val="auto"/>
        </w:rPr>
      </w:pPr>
    </w:p>
    <w:p>
      <w:pPr>
        <w:jc w:val="both"/>
        <w:ind w:left="6680"/>
        <w:spacing w:after="0"/>
        <w:tabs>
          <w:tab w:leader="none" w:pos="7980" w:val="left"/>
        </w:tabs>
        <w:rPr>
          <w:sz w:val="20"/>
          <w:szCs w:val="20"/>
          <w:color w:val="auto"/>
        </w:rPr>
      </w:pPr>
      <w:r>
        <w:rPr>
          <w:rFonts w:ascii="Arial" w:cs="Arial" w:eastAsia="Arial" w:hAnsi="Arial"/>
          <w:sz w:val="18"/>
          <w:szCs w:val="18"/>
          <w:color w:val="auto"/>
        </w:rPr>
        <w:t>14,740,031</w:t>
      </w:r>
      <w:r>
        <w:rPr>
          <w:sz w:val="20"/>
          <w:szCs w:val="20"/>
          <w:color w:val="auto"/>
        </w:rPr>
        <w:tab/>
      </w:r>
      <w:r>
        <w:rPr>
          <w:rFonts w:ascii="Arial" w:cs="Arial" w:eastAsia="Arial" w:hAnsi="Arial"/>
          <w:sz w:val="18"/>
          <w:szCs w:val="18"/>
          <w:color w:val="auto"/>
        </w:rPr>
        <w:t>14,740,031</w:t>
      </w:r>
    </w:p>
    <w:p>
      <w:pPr>
        <w:spacing w:after="0" w:line="23" w:lineRule="exact"/>
        <w:rPr>
          <w:sz w:val="20"/>
          <w:szCs w:val="20"/>
          <w:color w:val="auto"/>
        </w:rPr>
      </w:pPr>
    </w:p>
    <w:p>
      <w:pPr>
        <w:ind w:left="6760"/>
        <w:spacing w:after="0"/>
        <w:tabs>
          <w:tab w:leader="none" w:pos="8080" w:val="left"/>
        </w:tabs>
        <w:rPr>
          <w:sz w:val="20"/>
          <w:szCs w:val="20"/>
          <w:color w:val="auto"/>
        </w:rPr>
      </w:pPr>
      <w:r>
        <w:rPr>
          <w:rFonts w:ascii="Arial" w:cs="Arial" w:eastAsia="Arial" w:hAnsi="Arial"/>
          <w:sz w:val="16"/>
          <w:szCs w:val="16"/>
          <w:color w:val="auto"/>
        </w:rPr>
        <w:t>4,896,016</w:t>
      </w:r>
      <w:r>
        <w:rPr>
          <w:sz w:val="20"/>
          <w:szCs w:val="20"/>
          <w:color w:val="auto"/>
        </w:rPr>
        <w:tab/>
      </w:r>
      <w:r>
        <w:rPr>
          <w:rFonts w:ascii="Arial" w:cs="Arial" w:eastAsia="Arial" w:hAnsi="Arial"/>
          <w:sz w:val="16"/>
          <w:szCs w:val="16"/>
          <w:color w:val="auto"/>
        </w:rPr>
        <w:t>5,251,822</w:t>
      </w:r>
    </w:p>
    <w:p>
      <w:pPr>
        <w:spacing w:after="0" w:line="32" w:lineRule="exact"/>
        <w:rPr>
          <w:sz w:val="20"/>
          <w:szCs w:val="20"/>
          <w:color w:val="auto"/>
        </w:rPr>
      </w:pPr>
    </w:p>
    <w:p>
      <w:pPr>
        <w:ind w:left="6760"/>
        <w:spacing w:after="0"/>
        <w:tabs>
          <w:tab w:leader="none" w:pos="8080" w:val="left"/>
        </w:tabs>
        <w:rPr>
          <w:sz w:val="20"/>
          <w:szCs w:val="20"/>
          <w:color w:val="auto"/>
        </w:rPr>
      </w:pPr>
      <w:r>
        <w:rPr>
          <w:rFonts w:ascii="Arial" w:cs="Arial" w:eastAsia="Arial" w:hAnsi="Arial"/>
          <w:sz w:val="16"/>
          <w:szCs w:val="16"/>
          <w:color w:val="auto"/>
        </w:rPr>
        <w:t>2,258,542</w:t>
      </w:r>
      <w:r>
        <w:rPr>
          <w:sz w:val="20"/>
          <w:szCs w:val="20"/>
          <w:color w:val="auto"/>
        </w:rPr>
        <w:tab/>
      </w:r>
      <w:r>
        <w:rPr>
          <w:rFonts w:ascii="Arial" w:cs="Arial" w:eastAsia="Arial" w:hAnsi="Arial"/>
          <w:sz w:val="16"/>
          <w:szCs w:val="16"/>
          <w:color w:val="auto"/>
        </w:rPr>
        <w:t>2,349,570</w:t>
      </w:r>
    </w:p>
    <w:p>
      <w:pPr>
        <w:spacing w:after="0" w:line="32" w:lineRule="exact"/>
        <w:rPr>
          <w:sz w:val="20"/>
          <w:szCs w:val="20"/>
          <w:color w:val="auto"/>
        </w:rPr>
      </w:pPr>
    </w:p>
    <w:p>
      <w:pPr>
        <w:ind w:left="6760"/>
        <w:spacing w:after="0"/>
        <w:tabs>
          <w:tab w:leader="none" w:pos="8080" w:val="left"/>
        </w:tabs>
        <w:rPr>
          <w:sz w:val="20"/>
          <w:szCs w:val="20"/>
          <w:color w:val="auto"/>
        </w:rPr>
      </w:pPr>
      <w:r>
        <w:rPr>
          <w:rFonts w:ascii="Arial" w:cs="Arial" w:eastAsia="Arial" w:hAnsi="Arial"/>
          <w:sz w:val="16"/>
          <w:szCs w:val="16"/>
          <w:color w:val="auto"/>
        </w:rPr>
        <w:t>4,203,777</w:t>
      </w:r>
      <w:r>
        <w:rPr>
          <w:sz w:val="20"/>
          <w:szCs w:val="20"/>
          <w:color w:val="auto"/>
        </w:rPr>
        <w:tab/>
      </w:r>
      <w:r>
        <w:rPr>
          <w:rFonts w:ascii="Arial" w:cs="Arial" w:eastAsia="Arial" w:hAnsi="Arial"/>
          <w:sz w:val="16"/>
          <w:szCs w:val="16"/>
          <w:color w:val="auto"/>
        </w:rPr>
        <w:t>4,519,552</w:t>
      </w:r>
    </w:p>
    <w:p>
      <w:pPr>
        <w:spacing w:after="0" w:line="32" w:lineRule="exact"/>
        <w:rPr>
          <w:sz w:val="20"/>
          <w:szCs w:val="20"/>
          <w:color w:val="auto"/>
        </w:rPr>
      </w:pPr>
    </w:p>
    <w:p>
      <w:pPr>
        <w:ind w:left="6900"/>
        <w:spacing w:after="0"/>
        <w:tabs>
          <w:tab w:leader="none" w:pos="8200" w:val="left"/>
        </w:tabs>
        <w:rPr>
          <w:sz w:val="20"/>
          <w:szCs w:val="20"/>
          <w:color w:val="auto"/>
        </w:rPr>
      </w:pPr>
      <w:r>
        <w:rPr>
          <w:rFonts w:ascii="Arial" w:cs="Arial" w:eastAsia="Arial" w:hAnsi="Arial"/>
          <w:sz w:val="16"/>
          <w:szCs w:val="16"/>
          <w:color w:val="auto"/>
        </w:rPr>
        <w:t>392,482</w:t>
      </w:r>
      <w:r>
        <w:rPr>
          <w:sz w:val="20"/>
          <w:szCs w:val="20"/>
          <w:color w:val="auto"/>
        </w:rPr>
        <w:tab/>
      </w:r>
      <w:r>
        <w:rPr>
          <w:rFonts w:ascii="Arial" w:cs="Arial" w:eastAsia="Arial" w:hAnsi="Arial"/>
          <w:sz w:val="16"/>
          <w:szCs w:val="16"/>
          <w:color w:val="auto"/>
        </w:rPr>
        <w:t>445,974</w:t>
      </w:r>
    </w:p>
    <w:p>
      <w:pPr>
        <w:spacing w:after="0" w:line="32" w:lineRule="exact"/>
        <w:rPr>
          <w:sz w:val="20"/>
          <w:szCs w:val="20"/>
          <w:color w:val="auto"/>
        </w:rPr>
      </w:pPr>
    </w:p>
    <w:p>
      <w:pPr>
        <w:jc w:val="both"/>
        <w:ind w:left="7000"/>
        <w:spacing w:after="0"/>
        <w:tabs>
          <w:tab w:leader="none" w:pos="8300" w:val="left"/>
        </w:tabs>
        <w:rPr>
          <w:sz w:val="20"/>
          <w:szCs w:val="20"/>
          <w:color w:val="auto"/>
        </w:rPr>
      </w:pPr>
      <w:r>
        <w:rPr>
          <w:rFonts w:ascii="Arial" w:cs="Arial" w:eastAsia="Arial" w:hAnsi="Arial"/>
          <w:sz w:val="18"/>
          <w:szCs w:val="18"/>
          <w:color w:val="auto"/>
        </w:rPr>
        <w:t>12,859</w:t>
      </w:r>
      <w:r>
        <w:rPr>
          <w:sz w:val="20"/>
          <w:szCs w:val="20"/>
          <w:color w:val="auto"/>
        </w:rPr>
        <w:tab/>
      </w:r>
      <w:r>
        <w:rPr>
          <w:rFonts w:ascii="Arial" w:cs="Arial" w:eastAsia="Arial" w:hAnsi="Arial"/>
          <w:sz w:val="18"/>
          <w:szCs w:val="18"/>
          <w:color w:val="auto"/>
        </w:rPr>
        <w:t>12,859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4035425</wp:posOffset>
            </wp:positionH>
            <wp:positionV relativeFrom="paragraph">
              <wp:posOffset>14605</wp:posOffset>
            </wp:positionV>
            <wp:extent cx="156019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15" w:lineRule="exact"/>
        <w:rPr>
          <w:sz w:val="20"/>
          <w:szCs w:val="20"/>
          <w:color w:val="auto"/>
        </w:rPr>
      </w:pPr>
    </w:p>
    <w:p>
      <w:pPr>
        <w:jc w:val="both"/>
        <w:ind w:left="6680"/>
        <w:spacing w:after="0"/>
        <w:tabs>
          <w:tab w:leader="none" w:pos="7980" w:val="left"/>
        </w:tabs>
        <w:rPr>
          <w:sz w:val="20"/>
          <w:szCs w:val="20"/>
          <w:color w:val="auto"/>
        </w:rPr>
      </w:pPr>
      <w:r>
        <w:rPr>
          <w:rFonts w:ascii="Arial" w:cs="Arial" w:eastAsia="Arial" w:hAnsi="Arial"/>
          <w:sz w:val="18"/>
          <w:szCs w:val="18"/>
          <w:color w:val="auto"/>
        </w:rPr>
        <w:t>26,503,707</w:t>
      </w:r>
      <w:r>
        <w:rPr>
          <w:sz w:val="20"/>
          <w:szCs w:val="20"/>
          <w:color w:val="auto"/>
        </w:rPr>
        <w:tab/>
      </w:r>
      <w:r>
        <w:rPr>
          <w:rFonts w:ascii="Arial" w:cs="Arial" w:eastAsia="Arial" w:hAnsi="Arial"/>
          <w:sz w:val="18"/>
          <w:szCs w:val="18"/>
          <w:color w:val="auto"/>
        </w:rPr>
        <w:t>27,319,808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4035425</wp:posOffset>
            </wp:positionH>
            <wp:positionV relativeFrom="paragraph">
              <wp:posOffset>14605</wp:posOffset>
            </wp:positionV>
            <wp:extent cx="156019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43" w:lineRule="exact"/>
        <w:rPr>
          <w:sz w:val="20"/>
          <w:szCs w:val="20"/>
          <w:color w:val="auto"/>
        </w:rPr>
      </w:pPr>
    </w:p>
    <w:p>
      <w:pPr>
        <w:jc w:val="right"/>
        <w:ind w:right="60"/>
        <w:spacing w:after="0"/>
        <w:tabs>
          <w:tab w:leader="none" w:pos="2220" w:val="left"/>
          <w:tab w:leader="none" w:pos="1100" w:val="left"/>
          <w:tab w:leader="none" w:pos="800" w:val="left"/>
        </w:tabs>
        <w:rPr>
          <w:sz w:val="20"/>
          <w:szCs w:val="20"/>
          <w:color w:val="auto"/>
        </w:rPr>
      </w:pPr>
      <w:r>
        <w:rPr>
          <w:rFonts w:ascii="Arial" w:cs="Arial" w:eastAsia="Arial" w:hAnsi="Arial"/>
          <w:sz w:val="18"/>
          <w:szCs w:val="18"/>
          <w:u w:val="single" w:color="auto"/>
          <w:color w:val="auto"/>
        </w:rPr>
        <w:t>$</w:t>
        <w:tab/>
        <w:t>131,623,380</w:t>
        <w:tab/>
        <w:t>$</w:t>
      </w:r>
      <w:r>
        <w:rPr>
          <w:sz w:val="20"/>
          <w:szCs w:val="20"/>
          <w:color w:val="auto"/>
        </w:rPr>
        <w:tab/>
      </w:r>
      <w:r>
        <w:rPr>
          <w:rFonts w:ascii="Arial" w:cs="Arial" w:eastAsia="Arial" w:hAnsi="Arial"/>
          <w:sz w:val="16"/>
          <w:szCs w:val="16"/>
          <w:u w:val="single" w:color="auto"/>
          <w:color w:val="auto"/>
        </w:rPr>
        <w:t>60,327,754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4035425</wp:posOffset>
            </wp:positionH>
            <wp:positionV relativeFrom="paragraph">
              <wp:posOffset>40640</wp:posOffset>
            </wp:positionV>
            <wp:extent cx="156019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LIABILITIES AND STOCKHOLDERS’ EQUITY</w:t>
      </w:r>
    </w:p>
    <w:p>
      <w:pPr>
        <w:spacing w:after="0" w:line="22" w:lineRule="exact"/>
        <w:rPr>
          <w:sz w:val="20"/>
          <w:szCs w:val="20"/>
          <w:color w:val="auto"/>
        </w:rPr>
      </w:pPr>
    </w:p>
    <w:p>
      <w:pPr>
        <w:sectPr>
          <w:pgSz w:w="11900" w:h="16838" w:orient="portrait"/>
          <w:cols w:equalWidth="0" w:num="2">
            <w:col w:w="2140" w:space="180"/>
            <w:col w:w="8880"/>
          </w:cols>
          <w:pgMar w:left="320" w:top="877" w:right="379" w:bottom="1440" w:gutter="0" w:footer="0" w:header="0"/>
        </w:sectPr>
      </w:pPr>
    </w:p>
    <w:tbl>
      <w:tblPr>
        <w:tblLayout w:type="fixed"/>
        <w:tblInd w:w="0" w:type="dxa"/>
        <w:tblCellMar>
          <w:top w:w="0" w:type="dxa"/>
          <w:left w:w="0" w:type="dxa"/>
          <w:bottom w:w="0" w:type="dxa"/>
          <w:right w:w="0" w:type="dxa"/>
        </w:tblCellMar>
      </w:tblPr>
      <w:tr>
        <w:trPr>
          <w:trHeight w:val="207"/>
        </w:trPr>
        <w:tc>
          <w:tcPr>
            <w:tcW w:w="8680" w:type="dxa"/>
            <w:vAlign w:val="bottom"/>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Accounts payable – trade</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805,461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618,250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Accrued expenses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2,088,651</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2,420,361</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Revenue share payable</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3,341,312</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4,969,868</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Current portion of lease obligations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110,271</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123,220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Current portion of contingent purchase price payable</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1,610,813</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51"/>
        </w:trPr>
        <w:tc>
          <w:tcPr>
            <w:tcW w:w="8680" w:type="dxa"/>
            <w:vAlign w:val="bottom"/>
          </w:tcPr>
          <w:p>
            <w:pPr>
              <w:ind w:left="180"/>
              <w:spacing w:after="0"/>
              <w:rPr>
                <w:sz w:val="20"/>
                <w:szCs w:val="20"/>
                <w:color w:val="auto"/>
              </w:rPr>
            </w:pPr>
            <w:r>
              <w:rPr>
                <w:rFonts w:ascii="Arial" w:cs="Arial" w:eastAsia="Arial" w:hAnsi="Arial"/>
                <w:sz w:val="18"/>
                <w:szCs w:val="18"/>
                <w:color w:val="auto"/>
              </w:rPr>
              <w:t>Deferred revenue</w:t>
            </w: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319,609</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285,795</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23"/>
        </w:trPr>
        <w:tc>
          <w:tcPr>
            <w:tcW w:w="8680" w:type="dxa"/>
            <w:vAlign w:val="bottom"/>
          </w:tcPr>
          <w:p>
            <w:pPr>
              <w:ind w:left="180"/>
              <w:spacing w:after="0" w:line="203" w:lineRule="exact"/>
              <w:rPr>
                <w:sz w:val="20"/>
                <w:szCs w:val="20"/>
                <w:color w:val="auto"/>
              </w:rPr>
            </w:pPr>
            <w:r>
              <w:rPr>
                <w:rFonts w:ascii="Arial" w:cs="Arial" w:eastAsia="Arial" w:hAnsi="Arial"/>
                <w:sz w:val="18"/>
                <w:szCs w:val="18"/>
                <w:color w:val="auto"/>
              </w:rPr>
              <w:t>Total Current Liabilities</w:t>
            </w: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6,665,304</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10,028,307</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2"/>
        </w:trPr>
        <w:tc>
          <w:tcPr>
            <w:tcW w:w="8680" w:type="dxa"/>
            <w:vAlign w:val="bottom"/>
          </w:tcPr>
          <w:p>
            <w:pPr>
              <w:spacing w:after="0" w:line="201" w:lineRule="exact"/>
              <w:rPr>
                <w:sz w:val="20"/>
                <w:szCs w:val="20"/>
                <w:color w:val="auto"/>
              </w:rPr>
            </w:pPr>
            <w:r>
              <w:rPr>
                <w:rFonts w:ascii="Arial" w:cs="Arial" w:eastAsia="Arial" w:hAnsi="Arial"/>
                <w:sz w:val="18"/>
                <w:szCs w:val="18"/>
                <w:color w:val="auto"/>
              </w:rPr>
              <w:t>Non-current Liabilities</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51"/>
        </w:trPr>
        <w:tc>
          <w:tcPr>
            <w:tcW w:w="8680" w:type="dxa"/>
            <w:vAlign w:val="bottom"/>
          </w:tcPr>
          <w:p>
            <w:pPr>
              <w:ind w:left="180"/>
              <w:spacing w:after="0"/>
              <w:rPr>
                <w:sz w:val="20"/>
                <w:szCs w:val="20"/>
                <w:color w:val="auto"/>
              </w:rPr>
            </w:pPr>
            <w:r>
              <w:rPr>
                <w:rFonts w:ascii="Arial" w:cs="Arial" w:eastAsia="Arial" w:hAnsi="Arial"/>
                <w:sz w:val="18"/>
                <w:szCs w:val="18"/>
                <w:color w:val="auto"/>
              </w:rPr>
              <w:t>Lease obligations, net of current portion</w:t>
            </w: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282,934</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325,533</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23"/>
        </w:trPr>
        <w:tc>
          <w:tcPr>
            <w:tcW w:w="8680" w:type="dxa"/>
            <w:vAlign w:val="bottom"/>
          </w:tcPr>
          <w:p>
            <w:pPr>
              <w:ind w:left="180"/>
              <w:spacing w:after="0" w:line="203" w:lineRule="exact"/>
              <w:rPr>
                <w:sz w:val="20"/>
                <w:szCs w:val="20"/>
                <w:color w:val="auto"/>
              </w:rPr>
            </w:pPr>
            <w:r>
              <w:rPr>
                <w:rFonts w:ascii="Arial" w:cs="Arial" w:eastAsia="Arial" w:hAnsi="Arial"/>
                <w:sz w:val="18"/>
                <w:szCs w:val="18"/>
                <w:color w:val="auto"/>
              </w:rPr>
              <w:t>Total Non-current Liabilities</w:t>
            </w: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282,934</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325,533</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2"/>
        </w:trPr>
        <w:tc>
          <w:tcPr>
            <w:tcW w:w="8680" w:type="dxa"/>
            <w:vAlign w:val="bottom"/>
          </w:tcPr>
          <w:p>
            <w:pPr>
              <w:spacing w:after="0" w:line="201" w:lineRule="exact"/>
              <w:rPr>
                <w:sz w:val="20"/>
                <w:szCs w:val="20"/>
                <w:color w:val="auto"/>
              </w:rPr>
            </w:pPr>
            <w:r>
              <w:rPr>
                <w:rFonts w:ascii="Arial" w:cs="Arial" w:eastAsia="Arial" w:hAnsi="Arial"/>
                <w:sz w:val="18"/>
                <w:szCs w:val="18"/>
                <w:color w:val="auto"/>
              </w:rPr>
              <w:t>Total Liabilities</w:t>
            </w:r>
          </w:p>
        </w:tc>
        <w:tc>
          <w:tcPr>
            <w:tcW w:w="160" w:type="dxa"/>
            <w:vAlign w:val="bottom"/>
          </w:tcPr>
          <w:p>
            <w:pPr>
              <w:spacing w:after="0"/>
              <w:rPr>
                <w:sz w:val="17"/>
                <w:szCs w:val="17"/>
                <w:color w:val="auto"/>
              </w:rPr>
            </w:pPr>
          </w:p>
        </w:tc>
        <w:tc>
          <w:tcPr>
            <w:tcW w:w="960" w:type="dxa"/>
            <w:vAlign w:val="bottom"/>
          </w:tcPr>
          <w:p>
            <w:pPr>
              <w:jc w:val="right"/>
              <w:spacing w:after="0" w:line="201" w:lineRule="exact"/>
              <w:rPr>
                <w:sz w:val="20"/>
                <w:szCs w:val="20"/>
                <w:color w:val="auto"/>
              </w:rPr>
            </w:pPr>
            <w:r>
              <w:rPr>
                <w:rFonts w:ascii="Arial" w:cs="Arial" w:eastAsia="Arial" w:hAnsi="Arial"/>
                <w:sz w:val="18"/>
                <w:szCs w:val="18"/>
                <w:color w:val="auto"/>
              </w:rPr>
              <w:t>6,948,238</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line="201" w:lineRule="exact"/>
              <w:rPr>
                <w:sz w:val="20"/>
                <w:szCs w:val="20"/>
                <w:color w:val="auto"/>
              </w:rPr>
            </w:pPr>
            <w:r>
              <w:rPr>
                <w:rFonts w:ascii="Arial" w:cs="Arial" w:eastAsia="Arial" w:hAnsi="Arial"/>
                <w:sz w:val="18"/>
                <w:szCs w:val="18"/>
                <w:color w:val="auto"/>
              </w:rPr>
              <w:t>10,353,840</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Commitments and contingencies (See Note 8)</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Stockholders’ Equity</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w w:val="94"/>
              </w:rPr>
              <w:t>Preferred stock, $0.001 par value, 10,000,000 shares authorized, no issued and outstanding at June 30, 2021 or</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8680" w:type="dxa"/>
            <w:vAlign w:val="bottom"/>
          </w:tcPr>
          <w:p>
            <w:pPr>
              <w:ind w:left="360"/>
              <w:spacing w:after="0"/>
              <w:rPr>
                <w:sz w:val="20"/>
                <w:szCs w:val="20"/>
                <w:color w:val="auto"/>
              </w:rPr>
            </w:pPr>
            <w:r>
              <w:rPr>
                <w:rFonts w:ascii="Arial" w:cs="Arial" w:eastAsia="Arial" w:hAnsi="Arial"/>
                <w:sz w:val="18"/>
                <w:szCs w:val="18"/>
                <w:color w:val="auto"/>
              </w:rPr>
              <w:t>December 31, 2020</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w w:val="93"/>
              </w:rPr>
              <w:t>Common stock, $0.001 par value, 500,000,000 shares authorized, 17,495,429 and 15,223,340 shares issued and</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8680" w:type="dxa"/>
            <w:vAlign w:val="bottom"/>
          </w:tcPr>
          <w:p>
            <w:pPr>
              <w:ind w:left="360"/>
              <w:spacing w:after="0"/>
              <w:rPr>
                <w:sz w:val="20"/>
                <w:szCs w:val="20"/>
                <w:color w:val="auto"/>
              </w:rPr>
            </w:pPr>
            <w:r>
              <w:rPr>
                <w:rFonts w:ascii="Arial" w:cs="Arial" w:eastAsia="Arial" w:hAnsi="Arial"/>
                <w:sz w:val="18"/>
                <w:szCs w:val="18"/>
                <w:color w:val="auto"/>
              </w:rPr>
              <w:t>outstanding at June 30, 2021 and December 31, 2020, respectively</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17,495</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15,223</w:t>
            </w:r>
          </w:p>
        </w:tc>
        <w:tc>
          <w:tcPr>
            <w:tcW w:w="40" w:type="dxa"/>
            <w:vAlign w:val="bottom"/>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Additional paid-in-capital</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160,574,661</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85,590,428</w:t>
            </w:r>
          </w:p>
        </w:tc>
        <w:tc>
          <w:tcPr>
            <w:tcW w:w="40" w:type="dxa"/>
            <w:vAlign w:val="bottom"/>
          </w:tcPr>
          <w:p>
            <w:pPr>
              <w:spacing w:after="0"/>
              <w:rPr>
                <w:sz w:val="18"/>
                <w:szCs w:val="18"/>
                <w:color w:val="auto"/>
              </w:rPr>
            </w:pPr>
          </w:p>
        </w:tc>
      </w:tr>
      <w:tr>
        <w:trPr>
          <w:trHeight w:val="251"/>
        </w:trPr>
        <w:tc>
          <w:tcPr>
            <w:tcW w:w="868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16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(35,917,014)</w:t>
            </w:r>
          </w:p>
        </w:tc>
        <w:tc>
          <w:tcPr>
            <w:tcW w:w="160" w:type="dxa"/>
            <w:vAlign w:val="bottom"/>
          </w:tcPr>
          <w:p>
            <w:pPr>
              <w:spacing w:after="0"/>
              <w:rPr>
                <w:sz w:val="21"/>
                <w:szCs w:val="21"/>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w w:val="97"/>
              </w:rPr>
              <w:t>(35,631,737)</w:t>
            </w:r>
          </w:p>
        </w:tc>
      </w:tr>
      <w:tr>
        <w:trPr>
          <w:trHeight w:val="223"/>
        </w:trPr>
        <w:tc>
          <w:tcPr>
            <w:tcW w:w="8680" w:type="dxa"/>
            <w:vAlign w:val="bottom"/>
          </w:tcPr>
          <w:p>
            <w:pPr>
              <w:spacing w:after="0" w:line="203" w:lineRule="exact"/>
              <w:rPr>
                <w:sz w:val="20"/>
                <w:szCs w:val="20"/>
                <w:color w:val="auto"/>
              </w:rPr>
            </w:pPr>
            <w:r>
              <w:rPr>
                <w:rFonts w:ascii="Arial" w:cs="Arial" w:eastAsia="Arial" w:hAnsi="Arial"/>
                <w:sz w:val="18"/>
                <w:szCs w:val="18"/>
                <w:color w:val="auto"/>
              </w:rPr>
              <w:t>Total Stockholders’ Equity</w:t>
            </w: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124,675,142</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49,973,914</w:t>
            </w:r>
          </w:p>
        </w:tc>
        <w:tc>
          <w:tcPr>
            <w:tcW w:w="40" w:type="dxa"/>
            <w:vAlign w:val="bottom"/>
          </w:tcPr>
          <w:p>
            <w:pPr>
              <w:spacing w:after="0"/>
              <w:rPr>
                <w:sz w:val="19"/>
                <w:szCs w:val="19"/>
                <w:color w:val="auto"/>
              </w:rPr>
            </w:pPr>
          </w:p>
        </w:tc>
      </w:tr>
      <w:tr>
        <w:trPr>
          <w:trHeight w:val="250"/>
        </w:trPr>
        <w:tc>
          <w:tcPr>
            <w:tcW w:w="8680" w:type="dxa"/>
            <w:vAlign w:val="bottom"/>
          </w:tcPr>
          <w:p>
            <w:pPr>
              <w:spacing w:after="0" w:line="203" w:lineRule="exact"/>
              <w:rPr>
                <w:sz w:val="20"/>
                <w:szCs w:val="20"/>
                <w:color w:val="auto"/>
              </w:rPr>
            </w:pPr>
            <w:r>
              <w:rPr>
                <w:rFonts w:ascii="Arial" w:cs="Arial" w:eastAsia="Arial" w:hAnsi="Arial"/>
                <w:sz w:val="18"/>
                <w:szCs w:val="18"/>
                <w:color w:val="auto"/>
              </w:rPr>
              <w:t>TOTAL LIABILITIES AND STOCKHOLDERS’ EQUITY</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131,623,380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60,327,754</w:t>
            </w:r>
          </w:p>
        </w:tc>
        <w:tc>
          <w:tcPr>
            <w:tcW w:w="40" w:type="dxa"/>
            <w:vAlign w:val="bottom"/>
          </w:tcPr>
          <w:p>
            <w:pPr>
              <w:spacing w:after="0"/>
              <w:rPr>
                <w:sz w:val="21"/>
                <w:szCs w:val="21"/>
                <w:color w:val="auto"/>
              </w:rPr>
            </w:pPr>
          </w:p>
        </w:tc>
      </w:tr>
      <w:tr>
        <w:trPr>
          <w:trHeight w:val="20"/>
        </w:trPr>
        <w:tc>
          <w:tcPr>
            <w:tcW w:w="8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77" w:right="379" w:bottom="1440" w:gutter="0" w:footer="0" w:header="0"/>
          <w:type w:val="continuous"/>
        </w:sectPr>
      </w:pPr>
    </w:p>
    <w:bookmarkStart w:id="4" w:name="page5"/>
    <w:bookmarkEnd w:id="4"/>
    <w:p>
      <w:pPr>
        <w:jc w:val="center"/>
        <w:ind w:right="-3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20" w:type="dxa"/>
            <w:vAlign w:val="bottom"/>
            <w:gridSpan w:val="5"/>
          </w:tcPr>
          <w:p>
            <w:pPr>
              <w:jc w:val="center"/>
              <w:ind w:right="341"/>
              <w:spacing w:after="0"/>
              <w:rPr>
                <w:sz w:val="20"/>
                <w:szCs w:val="20"/>
                <w:color w:val="auto"/>
              </w:rPr>
            </w:pPr>
            <w:r>
              <w:rPr>
                <w:rFonts w:ascii="Arial" w:cs="Arial" w:eastAsia="Arial" w:hAnsi="Arial"/>
                <w:sz w:val="18"/>
                <w:szCs w:val="18"/>
                <w:b w:val="1"/>
                <w:bCs w:val="1"/>
                <w:color w:val="auto"/>
                <w:w w:val="92"/>
              </w:rPr>
              <w:t>For the Three Months</w:t>
            </w:r>
          </w:p>
        </w:tc>
        <w:tc>
          <w:tcPr>
            <w:tcW w:w="200" w:type="dxa"/>
            <w:vAlign w:val="bottom"/>
          </w:tcPr>
          <w:p>
            <w:pPr>
              <w:spacing w:after="0"/>
              <w:rPr>
                <w:sz w:val="18"/>
                <w:szCs w:val="18"/>
                <w:color w:val="auto"/>
              </w:rPr>
            </w:pPr>
          </w:p>
        </w:tc>
        <w:tc>
          <w:tcPr>
            <w:tcW w:w="2300" w:type="dxa"/>
            <w:vAlign w:val="bottom"/>
            <w:gridSpan w:val="7"/>
          </w:tcPr>
          <w:p>
            <w:pPr>
              <w:jc w:val="center"/>
              <w:ind w:right="294"/>
              <w:spacing w:after="0"/>
              <w:rPr>
                <w:sz w:val="20"/>
                <w:szCs w:val="20"/>
                <w:color w:val="auto"/>
              </w:rPr>
            </w:pPr>
            <w:r>
              <w:rPr>
                <w:rFonts w:ascii="Arial" w:cs="Arial" w:eastAsia="Arial" w:hAnsi="Arial"/>
                <w:sz w:val="18"/>
                <w:szCs w:val="18"/>
                <w:b w:val="1"/>
                <w:bCs w:val="1"/>
                <w:color w:val="auto"/>
                <w:w w:val="91"/>
              </w:rPr>
              <w:t>For the Six Months</w:t>
            </w:r>
          </w:p>
        </w:tc>
        <w:tc>
          <w:tcPr>
            <w:tcW w:w="0" w:type="dxa"/>
            <w:vAlign w:val="bottom"/>
          </w:tcPr>
          <w:p>
            <w:pPr>
              <w:spacing w:after="0"/>
              <w:rPr>
                <w:sz w:val="1"/>
                <w:szCs w:val="1"/>
                <w:color w:val="auto"/>
              </w:rPr>
            </w:pPr>
          </w:p>
        </w:tc>
      </w:tr>
      <w:tr>
        <w:trPr>
          <w:trHeight w:val="230"/>
        </w:trPr>
        <w:tc>
          <w:tcPr>
            <w:tcW w:w="5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gridSpan w:val="3"/>
          </w:tcPr>
          <w:p>
            <w:pPr>
              <w:jc w:val="center"/>
              <w:ind w:left="570"/>
              <w:spacing w:after="0"/>
              <w:rPr>
                <w:sz w:val="20"/>
                <w:szCs w:val="20"/>
                <w:color w:val="auto"/>
              </w:rPr>
            </w:pPr>
            <w:r>
              <w:rPr>
                <w:rFonts w:ascii="Arial" w:cs="Arial" w:eastAsia="Arial" w:hAnsi="Arial"/>
                <w:sz w:val="18"/>
                <w:szCs w:val="18"/>
                <w:b w:val="1"/>
                <w:bCs w:val="1"/>
                <w:color w:val="auto"/>
                <w:w w:val="90"/>
              </w:rPr>
              <w:t>Ended</w:t>
            </w: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3"/>
          </w:tcPr>
          <w:p>
            <w:pPr>
              <w:jc w:val="center"/>
              <w:ind w:left="550"/>
              <w:spacing w:after="0"/>
              <w:rPr>
                <w:sz w:val="20"/>
                <w:szCs w:val="20"/>
                <w:color w:val="auto"/>
              </w:rPr>
            </w:pPr>
            <w:r>
              <w:rPr>
                <w:rFonts w:ascii="Arial" w:cs="Arial" w:eastAsia="Arial" w:hAnsi="Arial"/>
                <w:sz w:val="18"/>
                <w:szCs w:val="18"/>
                <w:b w:val="1"/>
                <w:bCs w:val="1"/>
                <w:color w:val="auto"/>
                <w:w w:val="90"/>
              </w:rPr>
              <w:t>Ended</w:t>
            </w: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59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center"/>
              <w:ind w:left="590"/>
              <w:spacing w:after="0"/>
              <w:rPr>
                <w:sz w:val="20"/>
                <w:szCs w:val="20"/>
                <w:color w:val="auto"/>
              </w:rPr>
            </w:pPr>
            <w:r>
              <w:rPr>
                <w:rFonts w:ascii="Arial" w:cs="Arial" w:eastAsia="Arial" w:hAnsi="Arial"/>
                <w:sz w:val="18"/>
                <w:szCs w:val="18"/>
                <w:b w:val="1"/>
                <w:bCs w:val="1"/>
                <w:color w:val="auto"/>
                <w:w w:val="88"/>
              </w:rPr>
              <w:t>June 30,</w:t>
            </w:r>
          </w:p>
        </w:tc>
        <w:tc>
          <w:tcPr>
            <w:tcW w:w="8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center"/>
              <w:ind w:left="570"/>
              <w:spacing w:after="0"/>
              <w:rPr>
                <w:sz w:val="20"/>
                <w:szCs w:val="20"/>
                <w:color w:val="auto"/>
              </w:rPr>
            </w:pPr>
            <w:r>
              <w:rPr>
                <w:rFonts w:ascii="Arial" w:cs="Arial" w:eastAsia="Arial" w:hAnsi="Arial"/>
                <w:sz w:val="18"/>
                <w:szCs w:val="18"/>
                <w:b w:val="1"/>
                <w:bCs w:val="1"/>
                <w:color w:val="auto"/>
                <w:w w:val="88"/>
              </w:rPr>
              <w:t>June 30,</w:t>
            </w:r>
          </w:p>
        </w:tc>
        <w:tc>
          <w:tcPr>
            <w:tcW w:w="8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5980" w:type="dxa"/>
            <w:vAlign w:val="bottom"/>
          </w:tcPr>
          <w:p>
            <w:pPr>
              <w:spacing w:after="0"/>
              <w:rPr>
                <w:sz w:val="20"/>
                <w:szCs w:val="20"/>
                <w:color w:val="auto"/>
              </w:rPr>
            </w:pPr>
            <w:r>
              <w:rPr>
                <w:rFonts w:ascii="Arial" w:cs="Arial" w:eastAsia="Arial" w:hAnsi="Arial"/>
                <w:sz w:val="18"/>
                <w:szCs w:val="18"/>
                <w:color w:val="auto"/>
              </w:rPr>
              <w:t>NET REVENUE</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13,625,639</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41"/>
              <w:spacing w:after="0"/>
              <w:rPr>
                <w:sz w:val="20"/>
                <w:szCs w:val="20"/>
                <w:color w:val="auto"/>
              </w:rPr>
            </w:pPr>
            <w:r>
              <w:rPr>
                <w:rFonts w:ascii="Arial" w:cs="Arial" w:eastAsia="Arial" w:hAnsi="Arial"/>
                <w:sz w:val="18"/>
                <w:szCs w:val="18"/>
                <w:color w:val="auto"/>
              </w:rPr>
              <w:t>8,783,230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w w:val="97"/>
              </w:rPr>
              <w:t>24,854,850</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gridSpan w:val="3"/>
          </w:tcPr>
          <w:p>
            <w:pPr>
              <w:jc w:val="right"/>
              <w:ind w:right="1"/>
              <w:spacing w:after="0"/>
              <w:rPr>
                <w:sz w:val="20"/>
                <w:szCs w:val="20"/>
                <w:color w:val="auto"/>
              </w:rPr>
            </w:pPr>
            <w:r>
              <w:rPr>
                <w:rFonts w:ascii="Arial" w:cs="Arial" w:eastAsia="Arial" w:hAnsi="Arial"/>
                <w:sz w:val="18"/>
                <w:szCs w:val="18"/>
                <w:color w:val="auto"/>
                <w:w w:val="93"/>
              </w:rPr>
              <w:t>16,367,832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5980" w:type="dxa"/>
            <w:vAlign w:val="bottom"/>
          </w:tcPr>
          <w:p>
            <w:pPr>
              <w:spacing w:after="0"/>
              <w:rPr>
                <w:sz w:val="20"/>
                <w:szCs w:val="20"/>
                <w:color w:val="auto"/>
              </w:rPr>
            </w:pPr>
            <w:r>
              <w:rPr>
                <w:rFonts w:ascii="Arial" w:cs="Arial" w:eastAsia="Arial" w:hAnsi="Arial"/>
                <w:sz w:val="18"/>
                <w:szCs w:val="18"/>
                <w:color w:val="auto"/>
              </w:rPr>
              <w:t>COST OF REVENUES</w:t>
            </w:r>
          </w:p>
        </w:tc>
        <w:tc>
          <w:tcPr>
            <w:tcW w:w="200" w:type="dxa"/>
            <w:vAlign w:val="bottom"/>
          </w:tcPr>
          <w:p>
            <w:pPr>
              <w:spacing w:after="0"/>
              <w:rPr>
                <w:sz w:val="21"/>
                <w:szCs w:val="21"/>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5,580,964</w:t>
            </w:r>
          </w:p>
        </w:tc>
        <w:tc>
          <w:tcPr>
            <w:tcW w:w="260" w:type="dxa"/>
            <w:vAlign w:val="bottom"/>
          </w:tcPr>
          <w:p>
            <w:pPr>
              <w:spacing w:after="0"/>
              <w:rPr>
                <w:sz w:val="21"/>
                <w:szCs w:val="21"/>
                <w:color w:val="auto"/>
              </w:rPr>
            </w:pPr>
          </w:p>
        </w:tc>
        <w:tc>
          <w:tcPr>
            <w:tcW w:w="1080" w:type="dxa"/>
            <w:vAlign w:val="bottom"/>
            <w:gridSpan w:val="2"/>
          </w:tcPr>
          <w:p>
            <w:pPr>
              <w:jc w:val="right"/>
              <w:ind w:right="141"/>
              <w:spacing w:after="0"/>
              <w:rPr>
                <w:sz w:val="20"/>
                <w:szCs w:val="20"/>
                <w:color w:val="auto"/>
              </w:rPr>
            </w:pPr>
            <w:r>
              <w:rPr>
                <w:rFonts w:ascii="Arial" w:cs="Arial" w:eastAsia="Arial" w:hAnsi="Arial"/>
                <w:sz w:val="18"/>
                <w:szCs w:val="18"/>
                <w:color w:val="auto"/>
              </w:rPr>
              <w:t>3,639,016</w:t>
            </w:r>
          </w:p>
        </w:tc>
        <w:tc>
          <w:tcPr>
            <w:tcW w:w="200" w:type="dxa"/>
            <w:vAlign w:val="bottom"/>
          </w:tcPr>
          <w:p>
            <w:pPr>
              <w:spacing w:after="0"/>
              <w:rPr>
                <w:sz w:val="21"/>
                <w:szCs w:val="21"/>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w w:val="97"/>
              </w:rPr>
              <w:t>10,685,567</w:t>
            </w:r>
          </w:p>
        </w:tc>
        <w:tc>
          <w:tcPr>
            <w:tcW w:w="260" w:type="dxa"/>
            <w:vAlign w:val="bottom"/>
          </w:tcPr>
          <w:p>
            <w:pPr>
              <w:spacing w:after="0"/>
              <w:rPr>
                <w:sz w:val="21"/>
                <w:szCs w:val="21"/>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6,880,779</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980" w:type="dxa"/>
            <w:vAlign w:val="bottom"/>
          </w:tcPr>
          <w:p>
            <w:pPr>
              <w:ind w:left="180"/>
              <w:spacing w:after="0"/>
              <w:rPr>
                <w:sz w:val="20"/>
                <w:szCs w:val="20"/>
                <w:color w:val="auto"/>
              </w:rPr>
            </w:pPr>
            <w:r>
              <w:rPr>
                <w:rFonts w:ascii="Arial" w:cs="Arial" w:eastAsia="Arial" w:hAnsi="Arial"/>
                <w:sz w:val="18"/>
                <w:szCs w:val="18"/>
                <w:color w:val="auto"/>
              </w:rPr>
              <w:t>GROSS MARGIN</w:t>
            </w: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8,044,675</w:t>
            </w:r>
          </w:p>
        </w:tc>
        <w:tc>
          <w:tcPr>
            <w:tcW w:w="26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5,144,214</w:t>
            </w:r>
          </w:p>
        </w:tc>
        <w:tc>
          <w:tcPr>
            <w:tcW w:w="2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14,169,283</w:t>
            </w:r>
          </w:p>
        </w:tc>
        <w:tc>
          <w:tcPr>
            <w:tcW w:w="2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9,487,053</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8"/>
        </w:trPr>
        <w:tc>
          <w:tcPr>
            <w:tcW w:w="5980" w:type="dxa"/>
            <w:vAlign w:val="bottom"/>
          </w:tcPr>
          <w:p>
            <w:pPr>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24"/>
                <w:szCs w:val="24"/>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7,704,536</w:t>
            </w:r>
          </w:p>
        </w:tc>
        <w:tc>
          <w:tcPr>
            <w:tcW w:w="260" w:type="dxa"/>
            <w:vAlign w:val="bottom"/>
          </w:tcPr>
          <w:p>
            <w:pPr>
              <w:spacing w:after="0"/>
              <w:rPr>
                <w:sz w:val="24"/>
                <w:szCs w:val="24"/>
                <w:color w:val="auto"/>
              </w:rPr>
            </w:pPr>
          </w:p>
        </w:tc>
        <w:tc>
          <w:tcPr>
            <w:tcW w:w="1080" w:type="dxa"/>
            <w:vAlign w:val="bottom"/>
            <w:gridSpan w:val="2"/>
          </w:tcPr>
          <w:p>
            <w:pPr>
              <w:jc w:val="right"/>
              <w:ind w:right="141"/>
              <w:spacing w:after="0"/>
              <w:rPr>
                <w:sz w:val="20"/>
                <w:szCs w:val="20"/>
                <w:color w:val="auto"/>
              </w:rPr>
            </w:pPr>
            <w:r>
              <w:rPr>
                <w:rFonts w:ascii="Arial" w:cs="Arial" w:eastAsia="Arial" w:hAnsi="Arial"/>
                <w:sz w:val="18"/>
                <w:szCs w:val="18"/>
                <w:color w:val="auto"/>
              </w:rPr>
              <w:t>6,200,027</w:t>
            </w:r>
          </w:p>
        </w:tc>
        <w:tc>
          <w:tcPr>
            <w:tcW w:w="200" w:type="dxa"/>
            <w:vAlign w:val="bottom"/>
          </w:tcPr>
          <w:p>
            <w:pPr>
              <w:spacing w:after="0"/>
              <w:rPr>
                <w:sz w:val="24"/>
                <w:szCs w:val="24"/>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w w:val="97"/>
              </w:rPr>
              <w:t>14,467,452</w:t>
            </w:r>
          </w:p>
        </w:tc>
        <w:tc>
          <w:tcPr>
            <w:tcW w:w="260" w:type="dxa"/>
            <w:vAlign w:val="bottom"/>
          </w:tcPr>
          <w:p>
            <w:pPr>
              <w:spacing w:after="0"/>
              <w:rPr>
                <w:sz w:val="24"/>
                <w:szCs w:val="24"/>
                <w:color w:val="auto"/>
              </w:rPr>
            </w:pPr>
          </w:p>
        </w:tc>
        <w:tc>
          <w:tcPr>
            <w:tcW w:w="900" w:type="dxa"/>
            <w:vAlign w:val="bottom"/>
            <w:gridSpan w:val="3"/>
          </w:tcPr>
          <w:p>
            <w:pPr>
              <w:jc w:val="right"/>
              <w:ind w:right="1"/>
              <w:spacing w:after="0"/>
              <w:rPr>
                <w:sz w:val="20"/>
                <w:szCs w:val="20"/>
                <w:color w:val="auto"/>
              </w:rPr>
            </w:pPr>
            <w:r>
              <w:rPr>
                <w:rFonts w:ascii="Arial" w:cs="Arial" w:eastAsia="Arial" w:hAnsi="Arial"/>
                <w:sz w:val="18"/>
                <w:szCs w:val="18"/>
                <w:color w:val="auto"/>
                <w:w w:val="93"/>
              </w:rPr>
              <w:t>12,802,118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980" w:type="dxa"/>
            <w:vAlign w:val="bottom"/>
          </w:tcPr>
          <w:p>
            <w:pPr>
              <w:ind w:left="180"/>
              <w:spacing w:after="0" w:line="203" w:lineRule="exact"/>
              <w:rPr>
                <w:sz w:val="20"/>
                <w:szCs w:val="20"/>
                <w:color w:val="auto"/>
              </w:rPr>
            </w:pPr>
            <w:r>
              <w:rPr>
                <w:rFonts w:ascii="Arial" w:cs="Arial" w:eastAsia="Arial" w:hAnsi="Arial"/>
                <w:sz w:val="18"/>
                <w:szCs w:val="18"/>
                <w:color w:val="auto"/>
              </w:rPr>
              <w:t>INCOME (LOSS) FROM OPERATIONS</w:t>
            </w:r>
          </w:p>
        </w:tc>
        <w:tc>
          <w:tcPr>
            <w:tcW w:w="2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340,139</w:t>
            </w:r>
          </w:p>
        </w:tc>
        <w:tc>
          <w:tcPr>
            <w:tcW w:w="2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(1,055,813</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(298,169</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7"/>
              </w:rPr>
              <w:t>(3,315,065</w:t>
            </w:r>
          </w:p>
        </w:tc>
        <w:tc>
          <w:tcPr>
            <w:tcW w:w="40" w:type="dxa"/>
            <w:vAlign w:val="bottom"/>
            <w:gridSpan w:val="2"/>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418"/>
        </w:trPr>
        <w:tc>
          <w:tcPr>
            <w:tcW w:w="5980" w:type="dxa"/>
            <w:vAlign w:val="bottom"/>
          </w:tcPr>
          <w:p>
            <w:pPr>
              <w:spacing w:after="0"/>
              <w:rPr>
                <w:sz w:val="20"/>
                <w:szCs w:val="20"/>
                <w:color w:val="auto"/>
              </w:rPr>
            </w:pPr>
            <w:r>
              <w:rPr>
                <w:rFonts w:ascii="Arial" w:cs="Arial" w:eastAsia="Arial" w:hAnsi="Arial"/>
                <w:sz w:val="18"/>
                <w:szCs w:val="18"/>
                <w:color w:val="auto"/>
              </w:rPr>
              <w:t>OTHER INCOME (EXPENSE)</w:t>
            </w: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11,961</w:t>
            </w:r>
          </w:p>
        </w:tc>
        <w:tc>
          <w:tcPr>
            <w:tcW w:w="26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Arial" w:cs="Arial" w:eastAsia="Arial" w:hAnsi="Arial"/>
                <w:sz w:val="18"/>
                <w:szCs w:val="18"/>
                <w:color w:val="auto"/>
              </w:rPr>
              <w:t>8,345</w:t>
            </w:r>
          </w:p>
        </w:tc>
        <w:tc>
          <w:tcPr>
            <w:tcW w:w="20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12,892</w:t>
            </w:r>
          </w:p>
        </w:tc>
        <w:tc>
          <w:tcPr>
            <w:tcW w:w="260" w:type="dxa"/>
            <w:vAlign w:val="bottom"/>
          </w:tcPr>
          <w:p>
            <w:pPr>
              <w:spacing w:after="0"/>
              <w:rPr>
                <w:sz w:val="18"/>
                <w:szCs w:val="18"/>
                <w:color w:val="auto"/>
              </w:rPr>
            </w:pPr>
          </w:p>
        </w:tc>
        <w:tc>
          <w:tcPr>
            <w:tcW w:w="900" w:type="dxa"/>
            <w:vAlign w:val="bottom"/>
            <w:gridSpan w:val="3"/>
          </w:tcPr>
          <w:p>
            <w:pPr>
              <w:jc w:val="right"/>
              <w:ind w:right="1"/>
              <w:spacing w:after="0"/>
              <w:rPr>
                <w:sz w:val="20"/>
                <w:szCs w:val="20"/>
                <w:color w:val="auto"/>
              </w:rPr>
            </w:pPr>
            <w:r>
              <w:rPr>
                <w:rFonts w:ascii="Arial" w:cs="Arial" w:eastAsia="Arial" w:hAnsi="Arial"/>
                <w:sz w:val="18"/>
                <w:szCs w:val="18"/>
                <w:color w:val="auto"/>
              </w:rPr>
              <w:t>63,666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5980" w:type="dxa"/>
            <w:vAlign w:val="bottom"/>
          </w:tcPr>
          <w:p>
            <w:pPr>
              <w:ind w:left="180"/>
              <w:spacing w:after="0"/>
              <w:rPr>
                <w:sz w:val="20"/>
                <w:szCs w:val="20"/>
                <w:color w:val="auto"/>
              </w:rPr>
            </w:pPr>
            <w:r>
              <w:rPr>
                <w:rFonts w:ascii="Arial" w:cs="Arial" w:eastAsia="Arial" w:hAnsi="Arial"/>
                <w:sz w:val="18"/>
                <w:szCs w:val="18"/>
                <w:color w:val="auto"/>
              </w:rPr>
              <w:t>Change in Fair Value of Contingent Consideration</w:t>
            </w:r>
          </w:p>
        </w:tc>
        <w:tc>
          <w:tcPr>
            <w:tcW w:w="200" w:type="dxa"/>
            <w:vAlign w:val="bottom"/>
          </w:tcPr>
          <w:p>
            <w:pPr>
              <w:spacing w:after="0"/>
              <w:rPr>
                <w:sz w:val="21"/>
                <w:szCs w:val="21"/>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80" w:type="dxa"/>
            <w:vAlign w:val="bottom"/>
            <w:gridSpan w:val="2"/>
          </w:tcPr>
          <w:p>
            <w:pPr>
              <w:jc w:val="right"/>
              <w:ind w:right="81"/>
              <w:spacing w:after="0"/>
              <w:rPr>
                <w:sz w:val="20"/>
                <w:szCs w:val="20"/>
                <w:color w:val="auto"/>
              </w:rPr>
            </w:pPr>
            <w:r>
              <w:rPr>
                <w:rFonts w:ascii="Arial" w:cs="Arial" w:eastAsia="Arial" w:hAnsi="Arial"/>
                <w:sz w:val="18"/>
                <w:szCs w:val="18"/>
                <w:color w:val="auto"/>
              </w:rPr>
              <w:t>(30,000)</w:t>
            </w:r>
          </w:p>
        </w:tc>
        <w:tc>
          <w:tcPr>
            <w:tcW w:w="200" w:type="dxa"/>
            <w:vAlign w:val="bottom"/>
          </w:tcPr>
          <w:p>
            <w:pPr>
              <w:spacing w:after="0"/>
              <w:rPr>
                <w:sz w:val="21"/>
                <w:szCs w:val="21"/>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(30,000)</w:t>
            </w:r>
          </w:p>
        </w:tc>
        <w:tc>
          <w:tcPr>
            <w:tcW w:w="0" w:type="dxa"/>
            <w:vAlign w:val="bottom"/>
          </w:tcPr>
          <w:p>
            <w:pPr>
              <w:spacing w:after="0"/>
              <w:rPr>
                <w:sz w:val="1"/>
                <w:szCs w:val="1"/>
                <w:color w:val="auto"/>
              </w:rPr>
            </w:pPr>
          </w:p>
        </w:tc>
      </w:tr>
      <w:tr>
        <w:trPr>
          <w:trHeight w:val="27"/>
        </w:trPr>
        <w:tc>
          <w:tcPr>
            <w:tcW w:w="59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gridSpan w:val="3"/>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46"/>
        </w:trPr>
        <w:tc>
          <w:tcPr>
            <w:tcW w:w="5980" w:type="dxa"/>
            <w:vAlign w:val="bottom"/>
          </w:tcPr>
          <w:p>
            <w:pPr>
              <w:ind w:left="180"/>
              <w:spacing w:after="0"/>
              <w:rPr>
                <w:sz w:val="20"/>
                <w:szCs w:val="20"/>
                <w:color w:val="auto"/>
              </w:rPr>
            </w:pPr>
            <w:r>
              <w:rPr>
                <w:rFonts w:ascii="Arial" w:cs="Arial" w:eastAsia="Arial" w:hAnsi="Arial"/>
                <w:sz w:val="18"/>
                <w:szCs w:val="18"/>
                <w:color w:val="auto"/>
              </w:rPr>
              <w:t>TOTAL OTHER INCOME (EXPENSE)</w:t>
            </w:r>
          </w:p>
        </w:tc>
        <w:tc>
          <w:tcPr>
            <w:tcW w:w="200" w:type="dxa"/>
            <w:vAlign w:val="bottom"/>
          </w:tcPr>
          <w:p>
            <w:pPr>
              <w:spacing w:after="0"/>
              <w:rPr>
                <w:sz w:val="24"/>
                <w:szCs w:val="24"/>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11,961</w:t>
            </w:r>
          </w:p>
        </w:tc>
        <w:tc>
          <w:tcPr>
            <w:tcW w:w="260" w:type="dxa"/>
            <w:vAlign w:val="bottom"/>
          </w:tcPr>
          <w:p>
            <w:pPr>
              <w:spacing w:after="0"/>
              <w:rPr>
                <w:sz w:val="24"/>
                <w:szCs w:val="24"/>
                <w:color w:val="auto"/>
              </w:rPr>
            </w:pPr>
          </w:p>
        </w:tc>
        <w:tc>
          <w:tcPr>
            <w:tcW w:w="1080" w:type="dxa"/>
            <w:vAlign w:val="bottom"/>
            <w:gridSpan w:val="2"/>
          </w:tcPr>
          <w:p>
            <w:pPr>
              <w:jc w:val="right"/>
              <w:ind w:right="81"/>
              <w:spacing w:after="0"/>
              <w:rPr>
                <w:sz w:val="20"/>
                <w:szCs w:val="20"/>
                <w:color w:val="auto"/>
              </w:rPr>
            </w:pPr>
            <w:r>
              <w:rPr>
                <w:rFonts w:ascii="Arial" w:cs="Arial" w:eastAsia="Arial" w:hAnsi="Arial"/>
                <w:sz w:val="18"/>
                <w:szCs w:val="18"/>
                <w:color w:val="auto"/>
              </w:rPr>
              <w:t>(21,655)</w:t>
            </w:r>
          </w:p>
        </w:tc>
        <w:tc>
          <w:tcPr>
            <w:tcW w:w="200" w:type="dxa"/>
            <w:vAlign w:val="bottom"/>
          </w:tcPr>
          <w:p>
            <w:pPr>
              <w:spacing w:after="0"/>
              <w:rPr>
                <w:sz w:val="24"/>
                <w:szCs w:val="24"/>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12,892</w:t>
            </w:r>
          </w:p>
        </w:tc>
        <w:tc>
          <w:tcPr>
            <w:tcW w:w="260" w:type="dxa"/>
            <w:vAlign w:val="bottom"/>
          </w:tcPr>
          <w:p>
            <w:pPr>
              <w:spacing w:after="0"/>
              <w:rPr>
                <w:sz w:val="24"/>
                <w:szCs w:val="24"/>
                <w:color w:val="auto"/>
              </w:rPr>
            </w:pPr>
          </w:p>
        </w:tc>
        <w:tc>
          <w:tcPr>
            <w:tcW w:w="900" w:type="dxa"/>
            <w:vAlign w:val="bottom"/>
            <w:gridSpan w:val="3"/>
          </w:tcPr>
          <w:p>
            <w:pPr>
              <w:jc w:val="right"/>
              <w:ind w:right="1"/>
              <w:spacing w:after="0"/>
              <w:rPr>
                <w:sz w:val="20"/>
                <w:szCs w:val="20"/>
                <w:color w:val="auto"/>
              </w:rPr>
            </w:pPr>
            <w:r>
              <w:rPr>
                <w:rFonts w:ascii="Arial" w:cs="Arial" w:eastAsia="Arial" w:hAnsi="Arial"/>
                <w:sz w:val="18"/>
                <w:szCs w:val="18"/>
                <w:color w:val="auto"/>
              </w:rPr>
              <w:t>33,666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9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gridSpan w:val="3"/>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2"/>
        </w:trPr>
        <w:tc>
          <w:tcPr>
            <w:tcW w:w="5980" w:type="dxa"/>
            <w:vAlign w:val="bottom"/>
          </w:tcPr>
          <w:p>
            <w:pPr>
              <w:spacing w:after="0"/>
              <w:rPr>
                <w:sz w:val="20"/>
                <w:szCs w:val="20"/>
                <w:color w:val="auto"/>
              </w:rPr>
            </w:pPr>
            <w:r>
              <w:rPr>
                <w:rFonts w:ascii="Arial" w:cs="Arial" w:eastAsia="Arial" w:hAnsi="Arial"/>
                <w:sz w:val="18"/>
                <w:szCs w:val="18"/>
                <w:color w:val="auto"/>
              </w:rPr>
              <w:t>INCOME(LOSS) BEFORE PROVISION FOR INCOME TAXES</w:t>
            </w:r>
          </w:p>
        </w:tc>
        <w:tc>
          <w:tcPr>
            <w:tcW w:w="200" w:type="dxa"/>
            <w:vAlign w:val="bottom"/>
          </w:tcPr>
          <w:p>
            <w:pPr>
              <w:spacing w:after="0"/>
              <w:rPr>
                <w:sz w:val="24"/>
                <w:szCs w:val="24"/>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352,100</w:t>
            </w:r>
          </w:p>
        </w:tc>
        <w:tc>
          <w:tcPr>
            <w:tcW w:w="260" w:type="dxa"/>
            <w:vAlign w:val="bottom"/>
          </w:tcPr>
          <w:p>
            <w:pPr>
              <w:spacing w:after="0"/>
              <w:rPr>
                <w:sz w:val="24"/>
                <w:szCs w:val="24"/>
                <w:color w:val="auto"/>
              </w:rPr>
            </w:pPr>
          </w:p>
        </w:tc>
        <w:tc>
          <w:tcPr>
            <w:tcW w:w="1080" w:type="dxa"/>
            <w:vAlign w:val="bottom"/>
            <w:gridSpan w:val="2"/>
          </w:tcPr>
          <w:p>
            <w:pPr>
              <w:jc w:val="right"/>
              <w:ind w:right="81"/>
              <w:spacing w:after="0"/>
              <w:rPr>
                <w:sz w:val="20"/>
                <w:szCs w:val="20"/>
                <w:color w:val="auto"/>
              </w:rPr>
            </w:pPr>
            <w:r>
              <w:rPr>
                <w:rFonts w:ascii="Arial" w:cs="Arial" w:eastAsia="Arial" w:hAnsi="Arial"/>
                <w:sz w:val="18"/>
                <w:szCs w:val="18"/>
                <w:color w:val="auto"/>
                <w:w w:val="97"/>
              </w:rPr>
              <w:t>(1,077,468)</w:t>
            </w:r>
          </w:p>
        </w:tc>
        <w:tc>
          <w:tcPr>
            <w:tcW w:w="200" w:type="dxa"/>
            <w:vAlign w:val="bottom"/>
          </w:tcPr>
          <w:p>
            <w:pPr>
              <w:spacing w:after="0"/>
              <w:rPr>
                <w:sz w:val="24"/>
                <w:szCs w:val="24"/>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(285,277)</w:t>
            </w:r>
          </w:p>
        </w:tc>
        <w:tc>
          <w:tcPr>
            <w:tcW w:w="260" w:type="dxa"/>
            <w:vAlign w:val="bottom"/>
          </w:tcPr>
          <w:p>
            <w:pPr>
              <w:spacing w:after="0"/>
              <w:rPr>
                <w:sz w:val="24"/>
                <w:szCs w:val="24"/>
                <w:color w:val="auto"/>
              </w:rPr>
            </w:pPr>
          </w:p>
        </w:tc>
        <w:tc>
          <w:tcPr>
            <w:tcW w:w="920" w:type="dxa"/>
            <w:vAlign w:val="bottom"/>
            <w:gridSpan w:val="4"/>
          </w:tcPr>
          <w:p>
            <w:pPr>
              <w:jc w:val="right"/>
              <w:spacing w:after="0"/>
              <w:rPr>
                <w:sz w:val="20"/>
                <w:szCs w:val="20"/>
                <w:color w:val="auto"/>
              </w:rPr>
            </w:pPr>
            <w:r>
              <w:rPr>
                <w:rFonts w:ascii="Arial" w:cs="Arial" w:eastAsia="Arial" w:hAnsi="Arial"/>
                <w:sz w:val="18"/>
                <w:szCs w:val="18"/>
                <w:color w:val="auto"/>
                <w:w w:val="97"/>
              </w:rPr>
              <w:t>(3,281,399)</w:t>
            </w:r>
          </w:p>
        </w:tc>
        <w:tc>
          <w:tcPr>
            <w:tcW w:w="0" w:type="dxa"/>
            <w:vAlign w:val="bottom"/>
          </w:tcPr>
          <w:p>
            <w:pPr>
              <w:spacing w:after="0"/>
              <w:rPr>
                <w:sz w:val="1"/>
                <w:szCs w:val="1"/>
                <w:color w:val="auto"/>
              </w:rPr>
            </w:pPr>
          </w:p>
        </w:tc>
      </w:tr>
      <w:tr>
        <w:trPr>
          <w:trHeight w:val="445"/>
        </w:trPr>
        <w:tc>
          <w:tcPr>
            <w:tcW w:w="59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00" w:type="dxa"/>
            <w:vAlign w:val="bottom"/>
          </w:tcPr>
          <w:p>
            <w:pPr>
              <w:spacing w:after="0"/>
              <w:rPr>
                <w:sz w:val="24"/>
                <w:szCs w:val="24"/>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108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980" w:type="dxa"/>
            <w:vAlign w:val="bottom"/>
            <w:vMerge w:val="restart"/>
          </w:tcPr>
          <w:p>
            <w:pPr>
              <w:spacing w:after="0"/>
              <w:rPr>
                <w:sz w:val="20"/>
                <w:szCs w:val="20"/>
                <w:color w:val="auto"/>
              </w:rPr>
            </w:pPr>
            <w:r>
              <w:rPr>
                <w:rFonts w:ascii="Arial" w:cs="Arial" w:eastAsia="Arial" w:hAnsi="Arial"/>
                <w:sz w:val="18"/>
                <w:szCs w:val="18"/>
                <w:color w:val="auto"/>
              </w:rPr>
              <w:t>NET INCOME (LOSS)</w:t>
            </w: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vMerge w:val="restart"/>
          </w:tcPr>
          <w:p>
            <w:pPr>
              <w:jc w:val="right"/>
              <w:ind w:right="81"/>
              <w:spacing w:after="0"/>
              <w:rPr>
                <w:sz w:val="20"/>
                <w:szCs w:val="20"/>
                <w:color w:val="auto"/>
              </w:rPr>
            </w:pPr>
            <w:r>
              <w:rPr>
                <w:rFonts w:ascii="Arial" w:cs="Arial" w:eastAsia="Arial" w:hAnsi="Arial"/>
                <w:sz w:val="16"/>
                <w:szCs w:val="16"/>
                <w:color w:val="auto"/>
                <w:w w:val="74"/>
              </w:rPr>
              <w:t>)</w:t>
            </w: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vMerge w:val="restart"/>
          </w:tcPr>
          <w:p>
            <w:pPr>
              <w:jc w:val="right"/>
              <w:ind w:right="81"/>
              <w:spacing w:after="0"/>
              <w:rPr>
                <w:sz w:val="20"/>
                <w:szCs w:val="20"/>
                <w:color w:val="auto"/>
              </w:rPr>
            </w:pPr>
            <w:r>
              <w:rPr>
                <w:rFonts w:ascii="Arial" w:cs="Arial" w:eastAsia="Arial" w:hAnsi="Arial"/>
                <w:sz w:val="16"/>
                <w:szCs w:val="16"/>
                <w:color w:val="auto"/>
                <w:w w:val="74"/>
              </w:rPr>
              <w:t>)</w:t>
            </w:r>
          </w:p>
        </w:tc>
        <w:tc>
          <w:tcPr>
            <w:tcW w:w="260" w:type="dxa"/>
            <w:vAlign w:val="bottom"/>
            <w:shd w:val="clear" w:color="auto" w:fill="000000"/>
          </w:tcPr>
          <w:p>
            <w:pPr>
              <w:spacing w:after="0"/>
              <w:rPr>
                <w:sz w:val="2"/>
                <w:szCs w:val="2"/>
                <w:color w:val="auto"/>
              </w:rPr>
            </w:pPr>
          </w:p>
        </w:tc>
        <w:tc>
          <w:tcPr>
            <w:tcW w:w="880" w:type="dxa"/>
            <w:vAlign w:val="bottom"/>
            <w:gridSpan w:val="2"/>
            <w:shd w:val="clear" w:color="auto" w:fill="000000"/>
          </w:tcPr>
          <w:p>
            <w:pPr>
              <w:spacing w:after="0"/>
              <w:rPr>
                <w:sz w:val="2"/>
                <w:szCs w:val="2"/>
                <w:color w:val="auto"/>
              </w:rPr>
            </w:pPr>
          </w:p>
        </w:tc>
        <w:tc>
          <w:tcPr>
            <w:tcW w:w="40" w:type="dxa"/>
            <w:vAlign w:val="bottom"/>
            <w:gridSpan w:val="2"/>
            <w:vMerge w:val="restart"/>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line="20" w:lineRule="exact"/>
              <w:rPr>
                <w:sz w:val="1"/>
                <w:szCs w:val="1"/>
                <w:color w:val="auto"/>
              </w:rPr>
            </w:pPr>
          </w:p>
        </w:tc>
      </w:tr>
      <w:tr>
        <w:trPr>
          <w:trHeight w:val="250"/>
        </w:trPr>
        <w:tc>
          <w:tcPr>
            <w:tcW w:w="5980" w:type="dxa"/>
            <w:vAlign w:val="bottom"/>
            <w:vMerge w:val="continue"/>
          </w:tcPr>
          <w:p>
            <w:pPr>
              <w:spacing w:after="0"/>
              <w:rPr>
                <w:sz w:val="21"/>
                <w:szCs w:val="21"/>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352,100</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7"/>
              </w:rPr>
              <w:t>(1,077,468</w:t>
            </w:r>
          </w:p>
        </w:tc>
        <w:tc>
          <w:tcPr>
            <w:tcW w:w="220" w:type="dxa"/>
            <w:vAlign w:val="bottom"/>
            <w:vMerge w:val="continue"/>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(285,277</w:t>
            </w:r>
          </w:p>
        </w:tc>
        <w:tc>
          <w:tcPr>
            <w:tcW w:w="220" w:type="dxa"/>
            <w:vAlign w:val="bottom"/>
            <w:vMerge w:val="continue"/>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(3,281,399</w:t>
            </w:r>
          </w:p>
        </w:tc>
        <w:tc>
          <w:tcPr>
            <w:tcW w:w="4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Arial" w:cs="Arial" w:eastAsia="Arial" w:hAnsi="Arial"/>
                <w:sz w:val="18"/>
                <w:szCs w:val="18"/>
                <w:color w:val="auto"/>
              </w:rPr>
              <w:t>WEIGHTED AVERGE SHARES OUTSTANDING</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8"/>
        </w:trPr>
        <w:tc>
          <w:tcPr>
            <w:tcW w:w="59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5980" w:type="dxa"/>
            <w:vAlign w:val="bottom"/>
          </w:tcPr>
          <w:p>
            <w:pPr>
              <w:ind w:left="180"/>
              <w:spacing w:after="0"/>
              <w:rPr>
                <w:sz w:val="20"/>
                <w:szCs w:val="20"/>
                <w:color w:val="auto"/>
              </w:rPr>
            </w:pPr>
            <w:r>
              <w:rPr>
                <w:rFonts w:ascii="Arial" w:cs="Arial" w:eastAsia="Arial" w:hAnsi="Arial"/>
                <w:sz w:val="18"/>
                <w:szCs w:val="18"/>
                <w:color w:val="auto"/>
              </w:rPr>
              <w:t>BASIC</w:t>
            </w:r>
          </w:p>
        </w:tc>
        <w:tc>
          <w:tcPr>
            <w:tcW w:w="200" w:type="dxa"/>
            <w:vAlign w:val="bottom"/>
          </w:tcPr>
          <w:p>
            <w:pPr>
              <w:spacing w:after="0"/>
              <w:rPr>
                <w:sz w:val="24"/>
                <w:szCs w:val="24"/>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17,347,096</w:t>
            </w:r>
          </w:p>
        </w:tc>
        <w:tc>
          <w:tcPr>
            <w:tcW w:w="260" w:type="dxa"/>
            <w:vAlign w:val="bottom"/>
          </w:tcPr>
          <w:p>
            <w:pPr>
              <w:spacing w:after="0"/>
              <w:rPr>
                <w:sz w:val="24"/>
                <w:szCs w:val="24"/>
                <w:color w:val="auto"/>
              </w:rPr>
            </w:pPr>
          </w:p>
        </w:tc>
        <w:tc>
          <w:tcPr>
            <w:tcW w:w="1080" w:type="dxa"/>
            <w:vAlign w:val="bottom"/>
            <w:gridSpan w:val="2"/>
          </w:tcPr>
          <w:p>
            <w:pPr>
              <w:jc w:val="right"/>
              <w:ind w:right="141"/>
              <w:spacing w:after="0"/>
              <w:rPr>
                <w:sz w:val="20"/>
                <w:szCs w:val="20"/>
                <w:color w:val="auto"/>
              </w:rPr>
            </w:pPr>
            <w:r>
              <w:rPr>
                <w:rFonts w:ascii="Arial" w:cs="Arial" w:eastAsia="Arial" w:hAnsi="Arial"/>
                <w:sz w:val="18"/>
                <w:szCs w:val="18"/>
                <w:color w:val="auto"/>
                <w:w w:val="93"/>
              </w:rPr>
              <w:t>14,667,216</w:t>
            </w:r>
          </w:p>
        </w:tc>
        <w:tc>
          <w:tcPr>
            <w:tcW w:w="200" w:type="dxa"/>
            <w:vAlign w:val="bottom"/>
          </w:tcPr>
          <w:p>
            <w:pPr>
              <w:spacing w:after="0"/>
              <w:rPr>
                <w:sz w:val="24"/>
                <w:szCs w:val="24"/>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w w:val="97"/>
              </w:rPr>
              <w:t>16,720,114</w:t>
            </w:r>
          </w:p>
        </w:tc>
        <w:tc>
          <w:tcPr>
            <w:tcW w:w="260" w:type="dxa"/>
            <w:vAlign w:val="bottom"/>
          </w:tcPr>
          <w:p>
            <w:pPr>
              <w:spacing w:after="0"/>
              <w:rPr>
                <w:sz w:val="24"/>
                <w:szCs w:val="24"/>
                <w:color w:val="auto"/>
              </w:rPr>
            </w:pPr>
          </w:p>
        </w:tc>
        <w:tc>
          <w:tcPr>
            <w:tcW w:w="900" w:type="dxa"/>
            <w:vAlign w:val="bottom"/>
            <w:gridSpan w:val="3"/>
          </w:tcPr>
          <w:p>
            <w:pPr>
              <w:jc w:val="right"/>
              <w:ind w:right="1"/>
              <w:spacing w:after="0"/>
              <w:rPr>
                <w:sz w:val="20"/>
                <w:szCs w:val="20"/>
                <w:color w:val="auto"/>
              </w:rPr>
            </w:pPr>
            <w:r>
              <w:rPr>
                <w:rFonts w:ascii="Arial" w:cs="Arial" w:eastAsia="Arial" w:hAnsi="Arial"/>
                <w:sz w:val="18"/>
                <w:szCs w:val="18"/>
                <w:color w:val="auto"/>
                <w:w w:val="93"/>
              </w:rPr>
              <w:t>14,638,359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5980" w:type="dxa"/>
            <w:vAlign w:val="bottom"/>
            <w:vMerge w:val="restart"/>
          </w:tcPr>
          <w:p>
            <w:pPr>
              <w:ind w:left="180"/>
              <w:spacing w:after="0"/>
              <w:rPr>
                <w:sz w:val="20"/>
                <w:szCs w:val="20"/>
                <w:color w:val="auto"/>
              </w:rPr>
            </w:pPr>
            <w:r>
              <w:rPr>
                <w:rFonts w:ascii="Arial" w:cs="Arial" w:eastAsia="Arial" w:hAnsi="Arial"/>
                <w:sz w:val="18"/>
                <w:szCs w:val="18"/>
                <w:color w:val="auto"/>
              </w:rPr>
              <w:t>DILUTED</w:t>
            </w:r>
          </w:p>
        </w:tc>
        <w:tc>
          <w:tcPr>
            <w:tcW w:w="200" w:type="dxa"/>
            <w:vAlign w:val="bottom"/>
            <w:tcBorders>
              <w:top w:val="single" w:sz="8" w:color="auto"/>
            </w:tcBorders>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880" w:type="dxa"/>
            <w:vAlign w:val="bottom"/>
            <w:tcBorders>
              <w:top w:val="single" w:sz="8" w:color="auto"/>
            </w:tcBorders>
            <w:gridSpan w:val="2"/>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980" w:type="dxa"/>
            <w:vAlign w:val="bottom"/>
            <w:vMerge w:val="continue"/>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18,104,807</w:t>
            </w:r>
          </w:p>
        </w:tc>
        <w:tc>
          <w:tcPr>
            <w:tcW w:w="26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14,667,216</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16,720,114</w:t>
            </w:r>
          </w:p>
        </w:tc>
        <w:tc>
          <w:tcPr>
            <w:tcW w:w="2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14,638,359</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Arial" w:cs="Arial" w:eastAsia="Arial" w:hAnsi="Arial"/>
                <w:sz w:val="18"/>
                <w:szCs w:val="18"/>
                <w:color w:val="auto"/>
              </w:rPr>
              <w:t>EARNINGS (LOSS) PER SHARE</w:t>
            </w: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8"/>
        </w:trPr>
        <w:tc>
          <w:tcPr>
            <w:tcW w:w="59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5980" w:type="dxa"/>
            <w:vAlign w:val="bottom"/>
          </w:tcPr>
          <w:p>
            <w:pPr>
              <w:ind w:left="180"/>
              <w:spacing w:after="0"/>
              <w:rPr>
                <w:sz w:val="20"/>
                <w:szCs w:val="20"/>
                <w:color w:val="auto"/>
              </w:rPr>
            </w:pPr>
            <w:r>
              <w:rPr>
                <w:rFonts w:ascii="Arial" w:cs="Arial" w:eastAsia="Arial" w:hAnsi="Arial"/>
                <w:sz w:val="18"/>
                <w:szCs w:val="18"/>
                <w:color w:val="auto"/>
              </w:rPr>
              <w:t>BASIC</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0.02</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81"/>
              <w:spacing w:after="0" w:line="271" w:lineRule="exact"/>
              <w:rPr>
                <w:sz w:val="20"/>
                <w:szCs w:val="20"/>
                <w:color w:val="auto"/>
              </w:rPr>
            </w:pPr>
            <w:r>
              <w:rPr>
                <w:rFonts w:ascii="Arial" w:cs="Arial" w:eastAsia="Arial" w:hAnsi="Arial"/>
                <w:sz w:val="17"/>
                <w:szCs w:val="17"/>
                <w:color w:val="auto"/>
              </w:rPr>
              <w:t>(0.07</w:t>
            </w:r>
            <w:r>
              <w:rPr>
                <w:rFonts w:ascii="Arial" w:cs="Arial" w:eastAsia="Arial" w:hAnsi="Arial"/>
                <w:sz w:val="31"/>
                <w:szCs w:val="31"/>
                <w:color w:val="auto"/>
                <w:vertAlign w:val="superscript"/>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81"/>
              <w:spacing w:after="0" w:line="271" w:lineRule="exact"/>
              <w:rPr>
                <w:sz w:val="20"/>
                <w:szCs w:val="20"/>
                <w:color w:val="auto"/>
              </w:rPr>
            </w:pPr>
            <w:r>
              <w:rPr>
                <w:rFonts w:ascii="Arial" w:cs="Arial" w:eastAsia="Arial" w:hAnsi="Arial"/>
                <w:sz w:val="17"/>
                <w:szCs w:val="17"/>
                <w:color w:val="auto"/>
              </w:rPr>
              <w:t>(0.02</w:t>
            </w:r>
            <w:r>
              <w:rPr>
                <w:rFonts w:ascii="Arial" w:cs="Arial" w:eastAsia="Arial" w:hAnsi="Arial"/>
                <w:sz w:val="31"/>
                <w:szCs w:val="31"/>
                <w:color w:val="auto"/>
                <w:vertAlign w:val="superscript"/>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gridSpan w:val="4"/>
          </w:tcPr>
          <w:p>
            <w:pPr>
              <w:jc w:val="right"/>
              <w:spacing w:after="0" w:line="271" w:lineRule="exact"/>
              <w:rPr>
                <w:sz w:val="20"/>
                <w:szCs w:val="20"/>
                <w:color w:val="auto"/>
              </w:rPr>
            </w:pPr>
            <w:r>
              <w:rPr>
                <w:rFonts w:ascii="Arial" w:cs="Arial" w:eastAsia="Arial" w:hAnsi="Arial"/>
                <w:sz w:val="17"/>
                <w:szCs w:val="17"/>
                <w:color w:val="auto"/>
              </w:rPr>
              <w:t>(0.22</w:t>
            </w:r>
            <w:r>
              <w:rPr>
                <w:rFonts w:ascii="Arial" w:cs="Arial" w:eastAsia="Arial" w:hAnsi="Arial"/>
                <w:sz w:val="31"/>
                <w:szCs w:val="31"/>
                <w:color w:val="auto"/>
                <w:vertAlign w:val="superscript"/>
              </w:rPr>
              <w:t>)</w:t>
            </w:r>
          </w:p>
        </w:tc>
        <w:tc>
          <w:tcPr>
            <w:tcW w:w="0" w:type="dxa"/>
            <w:vAlign w:val="bottom"/>
          </w:tcPr>
          <w:p>
            <w:pPr>
              <w:spacing w:after="0"/>
              <w:rPr>
                <w:sz w:val="1"/>
                <w:szCs w:val="1"/>
                <w:color w:val="auto"/>
              </w:rPr>
            </w:pPr>
          </w:p>
        </w:tc>
      </w:tr>
      <w:tr>
        <w:trPr>
          <w:trHeight w:val="20"/>
        </w:trPr>
        <w:tc>
          <w:tcPr>
            <w:tcW w:w="5980" w:type="dxa"/>
            <w:vAlign w:val="bottom"/>
            <w:vMerge w:val="restart"/>
          </w:tcPr>
          <w:p>
            <w:pPr>
              <w:ind w:left="180"/>
              <w:spacing w:after="0"/>
              <w:rPr>
                <w:sz w:val="20"/>
                <w:szCs w:val="20"/>
                <w:color w:val="auto"/>
              </w:rPr>
            </w:pPr>
            <w:r>
              <w:rPr>
                <w:rFonts w:ascii="Arial" w:cs="Arial" w:eastAsia="Arial" w:hAnsi="Arial"/>
                <w:sz w:val="18"/>
                <w:szCs w:val="18"/>
                <w:color w:val="auto"/>
              </w:rPr>
              <w:t>DILUTED</w:t>
            </w:r>
          </w:p>
        </w:tc>
        <w:tc>
          <w:tcPr>
            <w:tcW w:w="200" w:type="dxa"/>
            <w:vAlign w:val="bottom"/>
            <w:tcBorders>
              <w:top w:val="single" w:sz="8" w:color="auto"/>
            </w:tcBorders>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220" w:type="dxa"/>
            <w:vAlign w:val="bottom"/>
            <w:vMerge w:val="restart"/>
          </w:tcPr>
          <w:p>
            <w:pPr>
              <w:jc w:val="right"/>
              <w:ind w:right="8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tcBorders>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220" w:type="dxa"/>
            <w:vAlign w:val="bottom"/>
            <w:vMerge w:val="restart"/>
          </w:tcPr>
          <w:p>
            <w:pPr>
              <w:jc w:val="right"/>
              <w:ind w:right="81"/>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tcBorders>
          </w:tcPr>
          <w:p>
            <w:pPr>
              <w:spacing w:after="0" w:line="20" w:lineRule="exact"/>
              <w:rPr>
                <w:sz w:val="1"/>
                <w:szCs w:val="1"/>
                <w:color w:val="auto"/>
              </w:rPr>
            </w:pPr>
          </w:p>
        </w:tc>
        <w:tc>
          <w:tcPr>
            <w:tcW w:w="880" w:type="dxa"/>
            <w:vAlign w:val="bottom"/>
            <w:tcBorders>
              <w:top w:val="single" w:sz="8" w:color="auto"/>
            </w:tcBorders>
            <w:gridSpan w:val="2"/>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vMerge w:val="restart"/>
          </w:tcPr>
          <w:p>
            <w:pPr>
              <w:jc w:val="right"/>
              <w:spacing w:after="0"/>
              <w:rPr>
                <w:sz w:val="20"/>
                <w:szCs w:val="20"/>
                <w:color w:val="auto"/>
              </w:rPr>
            </w:pPr>
            <w:r>
              <w:rPr>
                <w:rFonts w:ascii="Arial" w:cs="Arial" w:eastAsia="Arial" w:hAnsi="Arial"/>
                <w:sz w:val="1"/>
                <w:szCs w:val="1"/>
                <w:color w:val="auto"/>
                <w:w w:val="4294967281"/>
              </w:rPr>
              <w:t>)</w:t>
            </w:r>
          </w:p>
        </w:tc>
        <w:tc>
          <w:tcPr>
            <w:tcW w:w="0" w:type="dxa"/>
            <w:vAlign w:val="bottom"/>
          </w:tcPr>
          <w:p>
            <w:pPr>
              <w:spacing w:after="0"/>
              <w:rPr>
                <w:sz w:val="1"/>
                <w:szCs w:val="1"/>
                <w:color w:val="auto"/>
              </w:rPr>
            </w:pPr>
          </w:p>
        </w:tc>
      </w:tr>
      <w:tr>
        <w:trPr>
          <w:trHeight w:val="223"/>
        </w:trPr>
        <w:tc>
          <w:tcPr>
            <w:tcW w:w="5980" w:type="dxa"/>
            <w:vAlign w:val="bottom"/>
            <w:vMerge w:val="continue"/>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26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(0.07</w:t>
            </w:r>
          </w:p>
        </w:tc>
        <w:tc>
          <w:tcPr>
            <w:tcW w:w="220" w:type="dxa"/>
            <w:vAlign w:val="bottom"/>
            <w:vMerge w:val="continue"/>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220" w:type="dxa"/>
            <w:vAlign w:val="bottom"/>
            <w:vMerge w:val="continue"/>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(0.22</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77" w:right="379" w:bottom="1440" w:gutter="0" w:footer="0" w:header="0"/>
        </w:sectPr>
      </w:pPr>
    </w:p>
    <w:bookmarkStart w:id="5" w:name="page6"/>
    <w:bookmarkEnd w:id="5"/>
    <w:p>
      <w:pPr>
        <w:jc w:val="center"/>
        <w:ind w:right="-3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THE THREE AND SIX MONTHS ENDED JUNE 30, 2021</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Additional</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55"/>
        </w:trPr>
        <w:tc>
          <w:tcPr>
            <w:tcW w:w="4620" w:type="dxa"/>
            <w:vAlign w:val="bottom"/>
          </w:tcPr>
          <w:p>
            <w:pPr>
              <w:spacing w:after="0"/>
              <w:rPr>
                <w:sz w:val="22"/>
                <w:szCs w:val="22"/>
                <w:color w:val="auto"/>
              </w:rPr>
            </w:pPr>
          </w:p>
        </w:tc>
        <w:tc>
          <w:tcPr>
            <w:tcW w:w="2760" w:type="dxa"/>
            <w:vAlign w:val="bottom"/>
            <w:gridSpan w:val="5"/>
          </w:tcPr>
          <w:p>
            <w:pPr>
              <w:ind w:left="660"/>
              <w:spacing w:after="0"/>
              <w:rPr>
                <w:sz w:val="20"/>
                <w:szCs w:val="20"/>
                <w:color w:val="auto"/>
              </w:rPr>
            </w:pPr>
            <w:r>
              <w:rPr>
                <w:rFonts w:ascii="Arial" w:cs="Arial" w:eastAsia="Arial" w:hAnsi="Arial"/>
                <w:sz w:val="18"/>
                <w:szCs w:val="18"/>
                <w:b w:val="1"/>
                <w:bCs w:val="1"/>
                <w:color w:val="auto"/>
              </w:rPr>
              <w:t>Common Stock</w:t>
            </w:r>
          </w:p>
        </w:tc>
        <w:tc>
          <w:tcPr>
            <w:tcW w:w="120" w:type="dxa"/>
            <w:vAlign w:val="bottom"/>
          </w:tcPr>
          <w:p>
            <w:pPr>
              <w:spacing w:after="0"/>
              <w:rPr>
                <w:sz w:val="22"/>
                <w:szCs w:val="22"/>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Paid in</w:t>
            </w:r>
          </w:p>
        </w:tc>
        <w:tc>
          <w:tcPr>
            <w:tcW w:w="13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Accumulated</w:t>
            </w: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37"/>
        </w:trPr>
        <w:tc>
          <w:tcPr>
            <w:tcW w:w="4620" w:type="dxa"/>
            <w:vAlign w:val="bottom"/>
          </w:tcPr>
          <w:p>
            <w:pPr>
              <w:spacing w:after="0"/>
              <w:rPr>
                <w:sz w:val="20"/>
                <w:szCs w:val="20"/>
                <w:color w:val="auto"/>
              </w:rPr>
            </w:pPr>
          </w:p>
        </w:tc>
        <w:tc>
          <w:tcPr>
            <w:tcW w:w="114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Shares</w:t>
            </w:r>
          </w:p>
        </w:tc>
        <w:tc>
          <w:tcPr>
            <w:tcW w:w="240" w:type="dxa"/>
            <w:vAlign w:val="bottom"/>
            <w:tcBorders>
              <w:top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Amount</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6"/>
              </w:rPr>
              <w:t>Capital</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4"/>
              </w:rPr>
              <w:t>Deficit</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60" w:type="dxa"/>
            <w:vAlign w:val="bottom"/>
            <w:gridSpan w:val="2"/>
          </w:tcPr>
          <w:p>
            <w:pPr>
              <w:spacing w:after="0"/>
              <w:rPr>
                <w:sz w:val="20"/>
                <w:szCs w:val="20"/>
                <w:color w:val="auto"/>
              </w:rPr>
            </w:pPr>
          </w:p>
        </w:tc>
      </w:tr>
      <w:tr>
        <w:trPr>
          <w:trHeight w:val="432"/>
        </w:trPr>
        <w:tc>
          <w:tcPr>
            <w:tcW w:w="4620" w:type="dxa"/>
            <w:vAlign w:val="bottom"/>
          </w:tcPr>
          <w:p>
            <w:pPr>
              <w:spacing w:after="0"/>
              <w:rPr>
                <w:sz w:val="20"/>
                <w:szCs w:val="20"/>
                <w:color w:val="auto"/>
              </w:rPr>
            </w:pPr>
            <w:r>
              <w:rPr>
                <w:rFonts w:ascii="Arial" w:cs="Arial" w:eastAsia="Arial" w:hAnsi="Arial"/>
                <w:sz w:val="18"/>
                <w:szCs w:val="18"/>
                <w:color w:val="auto"/>
              </w:rPr>
              <w:t>Balance January 1, 2021</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15,223,340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15,223</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85,590,428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(35,631,737)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49,973,914</w:t>
            </w:r>
          </w:p>
        </w:tc>
      </w:tr>
      <w:tr>
        <w:trPr>
          <w:trHeight w:val="418"/>
        </w:trPr>
        <w:tc>
          <w:tcPr>
            <w:tcW w:w="4620" w:type="dxa"/>
            <w:vAlign w:val="bottom"/>
          </w:tcPr>
          <w:p>
            <w:pPr>
              <w:spacing w:after="0"/>
              <w:rPr>
                <w:sz w:val="20"/>
                <w:szCs w:val="20"/>
                <w:color w:val="auto"/>
              </w:rPr>
            </w:pPr>
            <w:r>
              <w:rPr>
                <w:rFonts w:ascii="Arial" w:cs="Arial" w:eastAsia="Arial" w:hAnsi="Arial"/>
                <w:sz w:val="18"/>
                <w:szCs w:val="18"/>
                <w:color w:val="auto"/>
              </w:rPr>
              <w:t>Public offering of common shares, net of offering costs</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1,523,750</w:t>
            </w:r>
          </w:p>
        </w:tc>
        <w:tc>
          <w:tcPr>
            <w:tcW w:w="180" w:type="dxa"/>
            <w:vAlign w:val="bottom"/>
          </w:tcPr>
          <w:p>
            <w:pPr>
              <w:spacing w:after="0"/>
              <w:rPr>
                <w:sz w:val="24"/>
                <w:szCs w:val="24"/>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1,524</w:t>
            </w:r>
          </w:p>
        </w:tc>
        <w:tc>
          <w:tcPr>
            <w:tcW w:w="12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70,670,012</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70,671,536</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Shares issued as board compensation</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2,695</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124,991</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124,994</w:t>
            </w:r>
          </w:p>
        </w:tc>
        <w:tc>
          <w:tcPr>
            <w:tcW w:w="40" w:type="dxa"/>
            <w:vAlign w:val="bottom"/>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Shares issued for stock options exercised</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510,803</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511</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1,119,500</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1,120,011</w:t>
            </w:r>
          </w:p>
        </w:tc>
        <w:tc>
          <w:tcPr>
            <w:tcW w:w="40" w:type="dxa"/>
            <w:vAlign w:val="bottom"/>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582,159</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582,159</w:t>
            </w:r>
          </w:p>
        </w:tc>
        <w:tc>
          <w:tcPr>
            <w:tcW w:w="40" w:type="dxa"/>
            <w:vAlign w:val="bottom"/>
          </w:tcPr>
          <w:p>
            <w:pPr>
              <w:spacing w:after="0"/>
              <w:rPr>
                <w:sz w:val="18"/>
                <w:szCs w:val="18"/>
                <w:color w:val="auto"/>
              </w:rPr>
            </w:pPr>
          </w:p>
        </w:tc>
      </w:tr>
      <w:tr>
        <w:trPr>
          <w:trHeight w:val="244"/>
        </w:trPr>
        <w:tc>
          <w:tcPr>
            <w:tcW w:w="4620" w:type="dxa"/>
            <w:vAlign w:val="bottom"/>
          </w:tcPr>
          <w:p>
            <w:pPr>
              <w:spacing w:after="0"/>
              <w:rPr>
                <w:sz w:val="20"/>
                <w:szCs w:val="20"/>
                <w:color w:val="auto"/>
              </w:rPr>
            </w:pPr>
            <w:r>
              <w:rPr>
                <w:rFonts w:ascii="Arial" w:cs="Arial" w:eastAsia="Arial" w:hAnsi="Arial"/>
                <w:sz w:val="18"/>
                <w:szCs w:val="18"/>
                <w:color w:val="auto"/>
              </w:rPr>
              <w:t>Net loss</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(637,377)</w:t>
            </w:r>
          </w:p>
        </w:tc>
        <w:tc>
          <w:tcPr>
            <w:tcW w:w="160" w:type="dxa"/>
            <w:vAlign w:val="bottom"/>
          </w:tcPr>
          <w:p>
            <w:pPr>
              <w:spacing w:after="0"/>
              <w:rPr>
                <w:sz w:val="21"/>
                <w:szCs w:val="21"/>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(637,377)</w:t>
            </w:r>
          </w:p>
        </w:tc>
      </w:tr>
      <w:tr>
        <w:trPr>
          <w:trHeight w:val="27"/>
        </w:trPr>
        <w:tc>
          <w:tcPr>
            <w:tcW w:w="46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gridSpan w:val="2"/>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432"/>
        </w:trPr>
        <w:tc>
          <w:tcPr>
            <w:tcW w:w="4620" w:type="dxa"/>
            <w:vAlign w:val="bottom"/>
          </w:tcPr>
          <w:p>
            <w:pPr>
              <w:ind w:left="60"/>
              <w:spacing w:after="0"/>
              <w:rPr>
                <w:sz w:val="20"/>
                <w:szCs w:val="20"/>
                <w:color w:val="auto"/>
              </w:rPr>
            </w:pPr>
            <w:r>
              <w:rPr>
                <w:rFonts w:ascii="Arial" w:cs="Arial" w:eastAsia="Arial" w:hAnsi="Arial"/>
                <w:sz w:val="18"/>
                <w:szCs w:val="18"/>
                <w:color w:val="auto"/>
              </w:rPr>
              <w:t>Balance March 31, 2021</w:t>
            </w:r>
          </w:p>
        </w:tc>
        <w:tc>
          <w:tcPr>
            <w:tcW w:w="1140" w:type="dxa"/>
            <w:vAlign w:val="bottom"/>
          </w:tcPr>
          <w:p>
            <w:pPr>
              <w:jc w:val="right"/>
              <w:spacing w:after="0"/>
              <w:rPr>
                <w:sz w:val="20"/>
                <w:szCs w:val="20"/>
                <w:color w:val="auto"/>
              </w:rPr>
            </w:pPr>
            <w:r>
              <w:rPr>
                <w:rFonts w:ascii="Arial" w:cs="Arial" w:eastAsia="Arial" w:hAnsi="Arial"/>
                <w:sz w:val="18"/>
                <w:szCs w:val="18"/>
                <w:color w:val="auto"/>
              </w:rPr>
              <w:t>17,260,588</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17,261</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158,087,090</w:t>
            </w:r>
          </w:p>
        </w:tc>
        <w:tc>
          <w:tcPr>
            <w:tcW w:w="160" w:type="dxa"/>
            <w:vAlign w:val="bottom"/>
          </w:tcPr>
          <w:p>
            <w:pPr>
              <w:spacing w:after="0"/>
              <w:rPr>
                <w:sz w:val="24"/>
                <w:szCs w:val="24"/>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(36,269,114)</w:t>
            </w:r>
          </w:p>
        </w:tc>
        <w:tc>
          <w:tcPr>
            <w:tcW w:w="160" w:type="dxa"/>
            <w:vAlign w:val="bottom"/>
          </w:tcPr>
          <w:p>
            <w:pPr>
              <w:spacing w:after="0"/>
              <w:rPr>
                <w:sz w:val="24"/>
                <w:szCs w:val="24"/>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121,835,237</w:t>
            </w:r>
          </w:p>
        </w:tc>
        <w:tc>
          <w:tcPr>
            <w:tcW w:w="40" w:type="dxa"/>
            <w:vAlign w:val="bottom"/>
          </w:tcPr>
          <w:p>
            <w:pPr>
              <w:spacing w:after="0"/>
              <w:rPr>
                <w:sz w:val="24"/>
                <w:szCs w:val="24"/>
                <w:color w:val="auto"/>
              </w:rPr>
            </w:pPr>
          </w:p>
        </w:tc>
      </w:tr>
      <w:tr>
        <w:trPr>
          <w:trHeight w:val="418"/>
        </w:trPr>
        <w:tc>
          <w:tcPr>
            <w:tcW w:w="4620" w:type="dxa"/>
            <w:vAlign w:val="bottom"/>
          </w:tcPr>
          <w:p>
            <w:pPr>
              <w:spacing w:after="0"/>
              <w:rPr>
                <w:sz w:val="20"/>
                <w:szCs w:val="20"/>
                <w:color w:val="auto"/>
              </w:rPr>
            </w:pPr>
            <w:r>
              <w:rPr>
                <w:rFonts w:ascii="Arial" w:cs="Arial" w:eastAsia="Arial" w:hAnsi="Arial"/>
                <w:sz w:val="18"/>
                <w:szCs w:val="18"/>
                <w:color w:val="auto"/>
              </w:rPr>
              <w:t>Shares issued as board compensation</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2,035</w:t>
            </w:r>
          </w:p>
        </w:tc>
        <w:tc>
          <w:tcPr>
            <w:tcW w:w="180" w:type="dxa"/>
            <w:vAlign w:val="bottom"/>
          </w:tcPr>
          <w:p>
            <w:pPr>
              <w:spacing w:after="0"/>
              <w:rPr>
                <w:sz w:val="24"/>
                <w:szCs w:val="24"/>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125,089</w:t>
            </w:r>
          </w:p>
        </w:tc>
        <w:tc>
          <w:tcPr>
            <w:tcW w:w="160" w:type="dxa"/>
            <w:vAlign w:val="bottom"/>
          </w:tcPr>
          <w:p>
            <w:pPr>
              <w:spacing w:after="0"/>
              <w:rPr>
                <w:sz w:val="24"/>
                <w:szCs w:val="2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125,091</w:t>
            </w:r>
          </w:p>
        </w:tc>
        <w:tc>
          <w:tcPr>
            <w:tcW w:w="40" w:type="dxa"/>
            <w:vAlign w:val="bottom"/>
          </w:tcPr>
          <w:p>
            <w:pPr>
              <w:spacing w:after="0"/>
              <w:rPr>
                <w:sz w:val="24"/>
                <w:szCs w:val="24"/>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Shares issued for stock options exercised</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232,806</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232</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1,590,535</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1,590,767</w:t>
            </w:r>
          </w:p>
        </w:tc>
        <w:tc>
          <w:tcPr>
            <w:tcW w:w="40" w:type="dxa"/>
            <w:vAlign w:val="bottom"/>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771,947</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771,947</w:t>
            </w:r>
          </w:p>
        </w:tc>
        <w:tc>
          <w:tcPr>
            <w:tcW w:w="40" w:type="dxa"/>
            <w:vAlign w:val="bottom"/>
          </w:tcPr>
          <w:p>
            <w:pPr>
              <w:spacing w:after="0"/>
              <w:rPr>
                <w:sz w:val="18"/>
                <w:szCs w:val="18"/>
                <w:color w:val="auto"/>
              </w:rPr>
            </w:pPr>
          </w:p>
        </w:tc>
      </w:tr>
      <w:tr>
        <w:trPr>
          <w:trHeight w:val="244"/>
        </w:trPr>
        <w:tc>
          <w:tcPr>
            <w:tcW w:w="4620" w:type="dxa"/>
            <w:vAlign w:val="bottom"/>
          </w:tcPr>
          <w:p>
            <w:pPr>
              <w:spacing w:after="0"/>
              <w:rPr>
                <w:sz w:val="20"/>
                <w:szCs w:val="20"/>
                <w:color w:val="auto"/>
              </w:rPr>
            </w:pPr>
            <w:r>
              <w:rPr>
                <w:rFonts w:ascii="Arial" w:cs="Arial" w:eastAsia="Arial" w:hAnsi="Arial"/>
                <w:sz w:val="18"/>
                <w:szCs w:val="18"/>
                <w:color w:val="auto"/>
              </w:rPr>
              <w:t>Net income</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352,100</w:t>
            </w:r>
          </w:p>
        </w:tc>
        <w:tc>
          <w:tcPr>
            <w:tcW w:w="160" w:type="dxa"/>
            <w:vAlign w:val="bottom"/>
          </w:tcPr>
          <w:p>
            <w:pPr>
              <w:spacing w:after="0"/>
              <w:rPr>
                <w:sz w:val="21"/>
                <w:szCs w:val="21"/>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352,100</w:t>
            </w:r>
          </w:p>
        </w:tc>
        <w:tc>
          <w:tcPr>
            <w:tcW w:w="40" w:type="dxa"/>
            <w:vAlign w:val="bottom"/>
          </w:tcPr>
          <w:p>
            <w:pPr>
              <w:spacing w:after="0"/>
              <w:rPr>
                <w:sz w:val="21"/>
                <w:szCs w:val="21"/>
                <w:color w:val="auto"/>
              </w:rPr>
            </w:pPr>
          </w:p>
        </w:tc>
      </w:tr>
      <w:tr>
        <w:trPr>
          <w:trHeight w:val="27"/>
        </w:trPr>
        <w:tc>
          <w:tcPr>
            <w:tcW w:w="46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gridSpan w:val="2"/>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479"/>
        </w:trPr>
        <w:tc>
          <w:tcPr>
            <w:tcW w:w="4620" w:type="dxa"/>
            <w:vAlign w:val="bottom"/>
          </w:tcPr>
          <w:p>
            <w:pPr>
              <w:spacing w:after="0"/>
              <w:rPr>
                <w:sz w:val="20"/>
                <w:szCs w:val="20"/>
                <w:color w:val="auto"/>
              </w:rPr>
            </w:pPr>
            <w:r>
              <w:rPr>
                <w:rFonts w:ascii="Arial" w:cs="Arial" w:eastAsia="Arial" w:hAnsi="Arial"/>
                <w:sz w:val="18"/>
                <w:szCs w:val="18"/>
                <w:color w:val="auto"/>
              </w:rPr>
              <w:t>Balance June 30, 2021</w:t>
            </w:r>
          </w:p>
        </w:tc>
        <w:tc>
          <w:tcPr>
            <w:tcW w:w="1140" w:type="dxa"/>
            <w:vAlign w:val="bottom"/>
          </w:tcPr>
          <w:p>
            <w:pPr>
              <w:jc w:val="right"/>
              <w:spacing w:after="0"/>
              <w:rPr>
                <w:sz w:val="20"/>
                <w:szCs w:val="20"/>
                <w:color w:val="auto"/>
              </w:rPr>
            </w:pPr>
            <w:r>
              <w:rPr>
                <w:rFonts w:ascii="Arial" w:cs="Arial" w:eastAsia="Arial" w:hAnsi="Arial"/>
                <w:sz w:val="18"/>
                <w:szCs w:val="18"/>
                <w:color w:val="auto"/>
              </w:rPr>
              <w:t>17,495,429</w:t>
            </w:r>
          </w:p>
        </w:tc>
        <w:tc>
          <w:tcPr>
            <w:tcW w:w="24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17,495</w:t>
            </w:r>
          </w:p>
        </w:tc>
        <w:tc>
          <w:tcPr>
            <w:tcW w:w="24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160,574,661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(35,917,014</w:t>
            </w:r>
            <w:r>
              <w:rPr>
                <w:rFonts w:ascii="Arial" w:cs="Arial" w:eastAsia="Arial" w:hAnsi="Arial"/>
                <w:sz w:val="35"/>
                <w:szCs w:val="35"/>
                <w:color w:val="auto"/>
                <w:w w:val="94"/>
                <w:vertAlign w:val="superscript"/>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124,675,142</w:t>
            </w:r>
          </w:p>
        </w:tc>
        <w:tc>
          <w:tcPr>
            <w:tcW w:w="40" w:type="dxa"/>
            <w:vAlign w:val="bottom"/>
          </w:tcPr>
          <w:p>
            <w:pPr>
              <w:spacing w:after="0"/>
              <w:rPr>
                <w:sz w:val="24"/>
                <w:szCs w:val="24"/>
                <w:color w:val="auto"/>
              </w:rPr>
            </w:pPr>
          </w:p>
        </w:tc>
      </w:tr>
      <w:tr>
        <w:trPr>
          <w:trHeight w:val="21"/>
        </w:trPr>
        <w:tc>
          <w:tcPr>
            <w:tcW w:w="46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77" w:right="379" w:bottom="1440" w:gutter="0" w:footer="0" w:header="0"/>
        </w:sectPr>
      </w:pPr>
    </w:p>
    <w:bookmarkStart w:id="6" w:name="page7"/>
    <w:bookmarkEnd w:id="6"/>
    <w:p>
      <w:pPr>
        <w:jc w:val="center"/>
        <w:ind w:right="-3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THE THREE AND SIX MONTHS ENDED JUNE 30, 2020</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Additional</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55"/>
        </w:trPr>
        <w:tc>
          <w:tcPr>
            <w:tcW w:w="4620" w:type="dxa"/>
            <w:vAlign w:val="bottom"/>
          </w:tcPr>
          <w:p>
            <w:pPr>
              <w:spacing w:after="0"/>
              <w:rPr>
                <w:sz w:val="22"/>
                <w:szCs w:val="22"/>
                <w:color w:val="auto"/>
              </w:rPr>
            </w:pPr>
          </w:p>
        </w:tc>
        <w:tc>
          <w:tcPr>
            <w:tcW w:w="2760" w:type="dxa"/>
            <w:vAlign w:val="bottom"/>
            <w:gridSpan w:val="5"/>
          </w:tcPr>
          <w:p>
            <w:pPr>
              <w:ind w:left="660"/>
              <w:spacing w:after="0"/>
              <w:rPr>
                <w:sz w:val="20"/>
                <w:szCs w:val="20"/>
                <w:color w:val="auto"/>
              </w:rPr>
            </w:pPr>
            <w:r>
              <w:rPr>
                <w:rFonts w:ascii="Arial" w:cs="Arial" w:eastAsia="Arial" w:hAnsi="Arial"/>
                <w:sz w:val="18"/>
                <w:szCs w:val="18"/>
                <w:b w:val="1"/>
                <w:bCs w:val="1"/>
                <w:color w:val="auto"/>
              </w:rPr>
              <w:t>Common Stock</w:t>
            </w:r>
          </w:p>
        </w:tc>
        <w:tc>
          <w:tcPr>
            <w:tcW w:w="120" w:type="dxa"/>
            <w:vAlign w:val="bottom"/>
          </w:tcPr>
          <w:p>
            <w:pPr>
              <w:spacing w:after="0"/>
              <w:rPr>
                <w:sz w:val="22"/>
                <w:szCs w:val="22"/>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Paid in</w:t>
            </w:r>
          </w:p>
        </w:tc>
        <w:tc>
          <w:tcPr>
            <w:tcW w:w="13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Accumulated</w:t>
            </w: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37"/>
        </w:trPr>
        <w:tc>
          <w:tcPr>
            <w:tcW w:w="4620" w:type="dxa"/>
            <w:vAlign w:val="bottom"/>
          </w:tcPr>
          <w:p>
            <w:pPr>
              <w:spacing w:after="0"/>
              <w:rPr>
                <w:sz w:val="20"/>
                <w:szCs w:val="20"/>
                <w:color w:val="auto"/>
              </w:rPr>
            </w:pPr>
          </w:p>
        </w:tc>
        <w:tc>
          <w:tcPr>
            <w:tcW w:w="114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Shares</w:t>
            </w:r>
          </w:p>
        </w:tc>
        <w:tc>
          <w:tcPr>
            <w:tcW w:w="240" w:type="dxa"/>
            <w:vAlign w:val="bottom"/>
            <w:tcBorders>
              <w:top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Amount</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6"/>
              </w:rPr>
              <w:t>Capital</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4"/>
              </w:rPr>
              <w:t>Deficit</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60" w:type="dxa"/>
            <w:vAlign w:val="bottom"/>
          </w:tcPr>
          <w:p>
            <w:pPr>
              <w:spacing w:after="0"/>
              <w:rPr>
                <w:sz w:val="20"/>
                <w:szCs w:val="20"/>
                <w:color w:val="auto"/>
              </w:rPr>
            </w:pPr>
          </w:p>
        </w:tc>
      </w:tr>
      <w:tr>
        <w:trPr>
          <w:trHeight w:val="432"/>
        </w:trPr>
        <w:tc>
          <w:tcPr>
            <w:tcW w:w="4620" w:type="dxa"/>
            <w:vAlign w:val="bottom"/>
          </w:tcPr>
          <w:p>
            <w:pPr>
              <w:spacing w:after="0"/>
              <w:rPr>
                <w:sz w:val="20"/>
                <w:szCs w:val="20"/>
                <w:color w:val="auto"/>
              </w:rPr>
            </w:pPr>
            <w:r>
              <w:rPr>
                <w:rFonts w:ascii="Arial" w:cs="Arial" w:eastAsia="Arial" w:hAnsi="Arial"/>
                <w:sz w:val="18"/>
                <w:szCs w:val="18"/>
                <w:color w:val="auto"/>
              </w:rPr>
              <w:t>Balance January 1, 2020</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14,600,579</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14,601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78,272,268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(33,424,610)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44,862,259</w:t>
            </w:r>
          </w:p>
        </w:tc>
        <w:tc>
          <w:tcPr>
            <w:tcW w:w="60" w:type="dxa"/>
            <w:vAlign w:val="bottom"/>
          </w:tcPr>
          <w:p>
            <w:pPr>
              <w:spacing w:after="0"/>
              <w:rPr>
                <w:sz w:val="24"/>
                <w:szCs w:val="24"/>
                <w:color w:val="auto"/>
              </w:rPr>
            </w:pPr>
          </w:p>
        </w:tc>
      </w:tr>
      <w:tr>
        <w:trPr>
          <w:trHeight w:val="418"/>
        </w:trPr>
        <w:tc>
          <w:tcPr>
            <w:tcW w:w="4620" w:type="dxa"/>
            <w:vAlign w:val="bottom"/>
          </w:tcPr>
          <w:p>
            <w:pPr>
              <w:spacing w:after="0"/>
              <w:rPr>
                <w:sz w:val="20"/>
                <w:szCs w:val="20"/>
                <w:color w:val="auto"/>
              </w:rPr>
            </w:pPr>
            <w:r>
              <w:rPr>
                <w:rFonts w:ascii="Arial" w:cs="Arial" w:eastAsia="Arial" w:hAnsi="Arial"/>
                <w:sz w:val="18"/>
                <w:szCs w:val="18"/>
                <w:color w:val="auto"/>
              </w:rPr>
              <w:t>Shares issued as board compensation</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11,136</w:t>
            </w:r>
          </w:p>
        </w:tc>
        <w:tc>
          <w:tcPr>
            <w:tcW w:w="180" w:type="dxa"/>
            <w:vAlign w:val="bottom"/>
          </w:tcPr>
          <w:p>
            <w:pPr>
              <w:spacing w:after="0"/>
              <w:rPr>
                <w:sz w:val="24"/>
                <w:szCs w:val="24"/>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99,989</w:t>
            </w:r>
          </w:p>
        </w:tc>
        <w:tc>
          <w:tcPr>
            <w:tcW w:w="160" w:type="dxa"/>
            <w:vAlign w:val="bottom"/>
          </w:tcPr>
          <w:p>
            <w:pPr>
              <w:spacing w:after="0"/>
              <w:rPr>
                <w:sz w:val="24"/>
                <w:szCs w:val="2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100,000</w:t>
            </w:r>
          </w:p>
        </w:tc>
        <w:tc>
          <w:tcPr>
            <w:tcW w:w="60" w:type="dxa"/>
            <w:vAlign w:val="bottom"/>
          </w:tcPr>
          <w:p>
            <w:pPr>
              <w:spacing w:after="0"/>
              <w:rPr>
                <w:sz w:val="24"/>
                <w:szCs w:val="24"/>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Shares issued for stock options exercised</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35,032</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112,117</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112,152</w:t>
            </w:r>
          </w:p>
        </w:tc>
        <w:tc>
          <w:tcPr>
            <w:tcW w:w="60" w:type="dxa"/>
            <w:vAlign w:val="bottom"/>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754,512</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754,512</w:t>
            </w:r>
          </w:p>
        </w:tc>
        <w:tc>
          <w:tcPr>
            <w:tcW w:w="60" w:type="dxa"/>
            <w:vAlign w:val="bottom"/>
          </w:tcPr>
          <w:p>
            <w:pPr>
              <w:spacing w:after="0"/>
              <w:rPr>
                <w:sz w:val="18"/>
                <w:szCs w:val="18"/>
                <w:color w:val="auto"/>
              </w:rPr>
            </w:pPr>
          </w:p>
        </w:tc>
      </w:tr>
      <w:tr>
        <w:trPr>
          <w:trHeight w:val="244"/>
        </w:trPr>
        <w:tc>
          <w:tcPr>
            <w:tcW w:w="4620" w:type="dxa"/>
            <w:vAlign w:val="bottom"/>
          </w:tcPr>
          <w:p>
            <w:pPr>
              <w:spacing w:after="0"/>
              <w:rPr>
                <w:sz w:val="20"/>
                <w:szCs w:val="20"/>
                <w:color w:val="auto"/>
              </w:rPr>
            </w:pPr>
            <w:r>
              <w:rPr>
                <w:rFonts w:ascii="Arial" w:cs="Arial" w:eastAsia="Arial" w:hAnsi="Arial"/>
                <w:sz w:val="18"/>
                <w:szCs w:val="18"/>
                <w:color w:val="auto"/>
              </w:rPr>
              <w:t>Net loss</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(2,203,931)</w:t>
            </w:r>
          </w:p>
        </w:tc>
        <w:tc>
          <w:tcPr>
            <w:tcW w:w="20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(2,203,931)</w:t>
            </w:r>
          </w:p>
        </w:tc>
      </w:tr>
      <w:tr>
        <w:trPr>
          <w:trHeight w:val="27"/>
        </w:trPr>
        <w:tc>
          <w:tcPr>
            <w:tcW w:w="46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432"/>
        </w:trPr>
        <w:tc>
          <w:tcPr>
            <w:tcW w:w="4620" w:type="dxa"/>
            <w:vAlign w:val="bottom"/>
          </w:tcPr>
          <w:p>
            <w:pPr>
              <w:ind w:left="60"/>
              <w:spacing w:after="0"/>
              <w:rPr>
                <w:sz w:val="20"/>
                <w:szCs w:val="20"/>
                <w:color w:val="auto"/>
              </w:rPr>
            </w:pPr>
            <w:r>
              <w:rPr>
                <w:rFonts w:ascii="Arial" w:cs="Arial" w:eastAsia="Arial" w:hAnsi="Arial"/>
                <w:sz w:val="18"/>
                <w:szCs w:val="18"/>
                <w:color w:val="auto"/>
              </w:rPr>
              <w:t>Balance March 31, 2020</w:t>
            </w:r>
          </w:p>
        </w:tc>
        <w:tc>
          <w:tcPr>
            <w:tcW w:w="1140" w:type="dxa"/>
            <w:vAlign w:val="bottom"/>
          </w:tcPr>
          <w:p>
            <w:pPr>
              <w:jc w:val="right"/>
              <w:spacing w:after="0"/>
              <w:rPr>
                <w:sz w:val="20"/>
                <w:szCs w:val="20"/>
                <w:color w:val="auto"/>
              </w:rPr>
            </w:pPr>
            <w:r>
              <w:rPr>
                <w:rFonts w:ascii="Arial" w:cs="Arial" w:eastAsia="Arial" w:hAnsi="Arial"/>
                <w:sz w:val="18"/>
                <w:szCs w:val="18"/>
                <w:color w:val="auto"/>
              </w:rPr>
              <w:t>14,646,747</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14,647</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79,238,886</w:t>
            </w:r>
          </w:p>
        </w:tc>
        <w:tc>
          <w:tcPr>
            <w:tcW w:w="160" w:type="dxa"/>
            <w:vAlign w:val="bottom"/>
          </w:tcPr>
          <w:p>
            <w:pPr>
              <w:spacing w:after="0"/>
              <w:rPr>
                <w:sz w:val="24"/>
                <w:szCs w:val="24"/>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(35,628,541)</w:t>
            </w:r>
          </w:p>
        </w:tc>
        <w:tc>
          <w:tcPr>
            <w:tcW w:w="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43,624,992</w:t>
            </w:r>
          </w:p>
        </w:tc>
        <w:tc>
          <w:tcPr>
            <w:tcW w:w="60" w:type="dxa"/>
            <w:vAlign w:val="bottom"/>
          </w:tcPr>
          <w:p>
            <w:pPr>
              <w:spacing w:after="0"/>
              <w:rPr>
                <w:sz w:val="24"/>
                <w:szCs w:val="24"/>
                <w:color w:val="auto"/>
              </w:rPr>
            </w:pPr>
          </w:p>
        </w:tc>
      </w:tr>
      <w:tr>
        <w:trPr>
          <w:trHeight w:val="418"/>
        </w:trPr>
        <w:tc>
          <w:tcPr>
            <w:tcW w:w="4620" w:type="dxa"/>
            <w:vAlign w:val="bottom"/>
          </w:tcPr>
          <w:p>
            <w:pPr>
              <w:spacing w:after="0"/>
              <w:rPr>
                <w:sz w:val="20"/>
                <w:szCs w:val="20"/>
                <w:color w:val="auto"/>
              </w:rPr>
            </w:pPr>
            <w:r>
              <w:rPr>
                <w:rFonts w:ascii="Arial" w:cs="Arial" w:eastAsia="Arial" w:hAnsi="Arial"/>
                <w:sz w:val="18"/>
                <w:szCs w:val="18"/>
                <w:color w:val="auto"/>
              </w:rPr>
              <w:t>Shares issued as board compensation</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7,748</w:t>
            </w:r>
          </w:p>
        </w:tc>
        <w:tc>
          <w:tcPr>
            <w:tcW w:w="180" w:type="dxa"/>
            <w:vAlign w:val="bottom"/>
          </w:tcPr>
          <w:p>
            <w:pPr>
              <w:spacing w:after="0"/>
              <w:rPr>
                <w:sz w:val="24"/>
                <w:szCs w:val="24"/>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100,019</w:t>
            </w:r>
          </w:p>
        </w:tc>
        <w:tc>
          <w:tcPr>
            <w:tcW w:w="160" w:type="dxa"/>
            <w:vAlign w:val="bottom"/>
          </w:tcPr>
          <w:p>
            <w:pPr>
              <w:spacing w:after="0"/>
              <w:rPr>
                <w:sz w:val="24"/>
                <w:szCs w:val="2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100,027</w:t>
            </w:r>
          </w:p>
        </w:tc>
        <w:tc>
          <w:tcPr>
            <w:tcW w:w="60" w:type="dxa"/>
            <w:vAlign w:val="bottom"/>
          </w:tcPr>
          <w:p>
            <w:pPr>
              <w:spacing w:after="0"/>
              <w:rPr>
                <w:sz w:val="24"/>
                <w:szCs w:val="24"/>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Shares issued for stock options exercised</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55,731</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174,775</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174,831</w:t>
            </w:r>
          </w:p>
        </w:tc>
        <w:tc>
          <w:tcPr>
            <w:tcW w:w="60" w:type="dxa"/>
            <w:vAlign w:val="bottom"/>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42,374</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680,602</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680,644</w:t>
            </w:r>
          </w:p>
        </w:tc>
        <w:tc>
          <w:tcPr>
            <w:tcW w:w="60" w:type="dxa"/>
            <w:vAlign w:val="bottom"/>
          </w:tcPr>
          <w:p>
            <w:pPr>
              <w:spacing w:after="0"/>
              <w:rPr>
                <w:sz w:val="18"/>
                <w:szCs w:val="18"/>
                <w:color w:val="auto"/>
              </w:rPr>
            </w:pPr>
          </w:p>
        </w:tc>
      </w:tr>
      <w:tr>
        <w:trPr>
          <w:trHeight w:val="244"/>
        </w:trPr>
        <w:tc>
          <w:tcPr>
            <w:tcW w:w="4620" w:type="dxa"/>
            <w:vAlign w:val="bottom"/>
          </w:tcPr>
          <w:p>
            <w:pPr>
              <w:spacing w:after="0"/>
              <w:rPr>
                <w:sz w:val="20"/>
                <w:szCs w:val="20"/>
                <w:color w:val="auto"/>
              </w:rPr>
            </w:pPr>
            <w:r>
              <w:rPr>
                <w:rFonts w:ascii="Arial" w:cs="Arial" w:eastAsia="Arial" w:hAnsi="Arial"/>
                <w:sz w:val="18"/>
                <w:szCs w:val="18"/>
                <w:color w:val="auto"/>
              </w:rPr>
              <w:t>Net loss</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(1,077,468)</w:t>
            </w:r>
          </w:p>
        </w:tc>
        <w:tc>
          <w:tcPr>
            <w:tcW w:w="20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(1,077,468)</w:t>
            </w:r>
          </w:p>
        </w:tc>
      </w:tr>
      <w:tr>
        <w:trPr>
          <w:trHeight w:val="27"/>
        </w:trPr>
        <w:tc>
          <w:tcPr>
            <w:tcW w:w="46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479"/>
        </w:trPr>
        <w:tc>
          <w:tcPr>
            <w:tcW w:w="4620" w:type="dxa"/>
            <w:vAlign w:val="bottom"/>
          </w:tcPr>
          <w:p>
            <w:pPr>
              <w:spacing w:after="0"/>
              <w:rPr>
                <w:sz w:val="20"/>
                <w:szCs w:val="20"/>
                <w:color w:val="auto"/>
              </w:rPr>
            </w:pPr>
            <w:r>
              <w:rPr>
                <w:rFonts w:ascii="Arial" w:cs="Arial" w:eastAsia="Arial" w:hAnsi="Arial"/>
                <w:sz w:val="18"/>
                <w:szCs w:val="18"/>
                <w:color w:val="auto"/>
              </w:rPr>
              <w:t>Balance June 30, 2020</w:t>
            </w:r>
          </w:p>
        </w:tc>
        <w:tc>
          <w:tcPr>
            <w:tcW w:w="1140" w:type="dxa"/>
            <w:vAlign w:val="bottom"/>
          </w:tcPr>
          <w:p>
            <w:pPr>
              <w:jc w:val="right"/>
              <w:spacing w:after="0"/>
              <w:rPr>
                <w:sz w:val="20"/>
                <w:szCs w:val="20"/>
                <w:color w:val="auto"/>
              </w:rPr>
            </w:pPr>
            <w:r>
              <w:rPr>
                <w:rFonts w:ascii="Arial" w:cs="Arial" w:eastAsia="Arial" w:hAnsi="Arial"/>
                <w:sz w:val="18"/>
                <w:szCs w:val="18"/>
                <w:color w:val="auto"/>
              </w:rPr>
              <w:t>14,752,600</w:t>
            </w:r>
          </w:p>
        </w:tc>
        <w:tc>
          <w:tcPr>
            <w:tcW w:w="24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14,753</w:t>
            </w:r>
          </w:p>
        </w:tc>
        <w:tc>
          <w:tcPr>
            <w:tcW w:w="24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80,194,282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(36,706,009</w:t>
            </w:r>
            <w:r>
              <w:rPr>
                <w:rFonts w:ascii="Arial" w:cs="Arial" w:eastAsia="Arial" w:hAnsi="Arial"/>
                <w:sz w:val="35"/>
                <w:szCs w:val="35"/>
                <w:color w:val="auto"/>
                <w:w w:val="94"/>
                <w:vertAlign w:val="superscript"/>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43,503,026</w:t>
            </w:r>
          </w:p>
        </w:tc>
        <w:tc>
          <w:tcPr>
            <w:tcW w:w="60" w:type="dxa"/>
            <w:vAlign w:val="bottom"/>
          </w:tcPr>
          <w:p>
            <w:pPr>
              <w:spacing w:after="0"/>
              <w:rPr>
                <w:sz w:val="24"/>
                <w:szCs w:val="24"/>
                <w:color w:val="auto"/>
              </w:rPr>
            </w:pPr>
          </w:p>
        </w:tc>
      </w:tr>
      <w:tr>
        <w:trPr>
          <w:trHeight w:val="21"/>
        </w:trPr>
        <w:tc>
          <w:tcPr>
            <w:tcW w:w="46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77" w:right="379" w:bottom="1440" w:gutter="0" w:footer="0" w:header="0"/>
        </w:sectPr>
      </w:pPr>
    </w:p>
    <w:bookmarkStart w:id="7" w:name="page8"/>
    <w:bookmarkEnd w:id="7"/>
    <w:p>
      <w:pPr>
        <w:jc w:val="center"/>
        <w:ind w:left="2920"/>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left="2920"/>
        <w:spacing w:after="0"/>
        <w:rPr>
          <w:sz w:val="20"/>
          <w:szCs w:val="20"/>
          <w:color w:val="auto"/>
        </w:rPr>
      </w:pPr>
      <w:r>
        <w:rPr>
          <w:rFonts w:ascii="Arial" w:cs="Arial" w:eastAsia="Arial" w:hAnsi="Arial"/>
          <w:sz w:val="17"/>
          <w:szCs w:val="17"/>
          <w:b w:val="1"/>
          <w:bCs w:val="1"/>
          <w:color w:val="auto"/>
        </w:rPr>
        <w:t>CONDENSED CONSOLIDATED STATEMENTS OF CASH FLOWS</w:t>
      </w:r>
    </w:p>
    <w:p>
      <w:pPr>
        <w:spacing w:after="0" w:line="21" w:lineRule="exact"/>
        <w:rPr>
          <w:sz w:val="20"/>
          <w:szCs w:val="20"/>
          <w:color w:val="auto"/>
        </w:rPr>
      </w:pPr>
    </w:p>
    <w:p>
      <w:pPr>
        <w:jc w:val="center"/>
        <w:ind w:left="29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OPERATING ACTIVITIES:</w:t>
      </w:r>
    </w:p>
    <w:p>
      <w:pPr>
        <w:spacing w:after="0" w:line="2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Net Loss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Adjustments to reconcile net loss to net cash provided by (used in) operating activities:</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Depreciation, amortization, and non-cash lease expense</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Stock-based compensation</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Stock issued for board services</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Provision for loss on accounts receivable</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Change in fair value of contingent consideration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Changes in:</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Accounts receivable</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Prepaid expenses and other assets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Accounts payable</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Revenue share payable</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Accrued expenses and other liabilities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Deferred revenue</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NET CASH PROVIDED BY (USED IN) OPERATING ACTIVITIES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INVESTING ACTIVITIES:</w:t>
      </w:r>
    </w:p>
    <w:p>
      <w:pPr>
        <w:spacing w:after="0" w:line="2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Purchase of equipment</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Purchase of intangible assets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NET CASH USED IN INVESTING ACTIVITIES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Proceeds from public offering of common stock, net of commission costs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Proceeds from the exercise of options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Payment of contingent consideration</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NET CASH PROVIDED BY (USED IN) FINANCING ACTIVITIES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NET INCREASE IN CASH AND CASH EQUIVALENTS</w:t>
      </w:r>
    </w:p>
    <w:p>
      <w:pPr>
        <w:spacing w:after="0" w:line="23" w:lineRule="exact"/>
        <w:rPr>
          <w:sz w:val="20"/>
          <w:szCs w:val="20"/>
          <w:color w:val="auto"/>
        </w:rPr>
      </w:pPr>
    </w:p>
    <w:p>
      <w:pPr>
        <w:ind w:right="3480"/>
        <w:spacing w:after="0" w:line="323" w:lineRule="auto"/>
        <w:rPr>
          <w:sz w:val="20"/>
          <w:szCs w:val="20"/>
          <w:color w:val="auto"/>
        </w:rPr>
      </w:pPr>
      <w:r>
        <w:rPr>
          <w:rFonts w:ascii="Arial" w:cs="Arial" w:eastAsia="Arial" w:hAnsi="Arial"/>
          <w:sz w:val="17"/>
          <w:szCs w:val="17"/>
          <w:color w:val="auto"/>
        </w:rPr>
        <w:t>CASH AND CASH EQUIVALENTS - BEGINNING OF PERIOD CASH AND CASH EQUIVALENTS - END OF PERIOD</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CASH FLOW INFORMATION:</w:t>
      </w:r>
    </w:p>
    <w:p>
      <w:pPr>
        <w:spacing w:after="0" w:line="2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Cash paid for interest</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Cash paid for income taxes</w:t>
      </w:r>
    </w:p>
    <w:p>
      <w:pPr>
        <w:spacing w:after="0" w:line="7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Lease liabilities arising from right of use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85"/>
        <w:spacing w:after="0"/>
        <w:rPr>
          <w:sz w:val="20"/>
          <w:szCs w:val="20"/>
          <w:color w:val="auto"/>
        </w:rPr>
      </w:pPr>
      <w:r>
        <w:rPr>
          <w:rFonts w:ascii="Arial" w:cs="Arial" w:eastAsia="Arial" w:hAnsi="Arial"/>
          <w:sz w:val="18"/>
          <w:szCs w:val="18"/>
          <w:b w:val="1"/>
          <w:bCs w:val="1"/>
          <w:color w:val="auto"/>
        </w:rPr>
        <w:t>For the Six Months</w:t>
      </w:r>
    </w:p>
    <w:p>
      <w:pPr>
        <w:spacing w:after="0" w:line="27" w:lineRule="exact"/>
        <w:rPr>
          <w:sz w:val="20"/>
          <w:szCs w:val="20"/>
          <w:color w:val="auto"/>
        </w:rPr>
      </w:pPr>
    </w:p>
    <w:p>
      <w:pPr>
        <w:ind w:left="965"/>
        <w:spacing w:after="0"/>
        <w:rPr>
          <w:sz w:val="20"/>
          <w:szCs w:val="20"/>
          <w:color w:val="auto"/>
        </w:rPr>
      </w:pPr>
      <w:r>
        <w:rPr>
          <w:rFonts w:ascii="Arial" w:cs="Arial" w:eastAsia="Arial" w:hAnsi="Arial"/>
          <w:sz w:val="18"/>
          <w:szCs w:val="18"/>
          <w:b w:val="1"/>
          <w:bCs w:val="1"/>
          <w:color w:val="auto"/>
        </w:rPr>
        <w:t>Ended</w:t>
      </w:r>
    </w:p>
    <w:p>
      <w:pPr>
        <w:spacing w:after="0" w:line="9" w:lineRule="exact"/>
        <w:rPr>
          <w:sz w:val="20"/>
          <w:szCs w:val="20"/>
          <w:color w:val="auto"/>
        </w:rPr>
      </w:pPr>
    </w:p>
    <w:p>
      <w:pPr>
        <w:ind w:left="905"/>
        <w:spacing w:after="0"/>
        <w:rPr>
          <w:sz w:val="20"/>
          <w:szCs w:val="20"/>
          <w:color w:val="auto"/>
        </w:rPr>
      </w:pPr>
      <w:r>
        <w:rPr>
          <w:rFonts w:ascii="Arial" w:cs="Arial" w:eastAsia="Arial" w:hAnsi="Arial"/>
          <w:sz w:val="18"/>
          <w:szCs w:val="18"/>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156019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11" w:lineRule="exact"/>
        <w:rPr>
          <w:sz w:val="20"/>
          <w:szCs w:val="20"/>
          <w:color w:val="auto"/>
        </w:rPr>
      </w:pPr>
    </w:p>
    <w:p>
      <w:pPr>
        <w:ind w:left="385"/>
        <w:spacing w:after="0"/>
        <w:tabs>
          <w:tab w:leader="none" w:pos="1705" w:val="left"/>
        </w:tabs>
        <w:rPr>
          <w:sz w:val="20"/>
          <w:szCs w:val="20"/>
          <w:color w:val="auto"/>
        </w:rPr>
      </w:pPr>
      <w:r>
        <w:rPr>
          <w:rFonts w:ascii="Arial" w:cs="Arial" w:eastAsia="Arial" w:hAnsi="Arial"/>
          <w:sz w:val="18"/>
          <w:szCs w:val="18"/>
          <w:b w:val="1"/>
          <w:bCs w:val="1"/>
          <w:color w:val="auto"/>
        </w:rPr>
        <w:t>2021</w:t>
      </w:r>
      <w:r>
        <w:rPr>
          <w:sz w:val="20"/>
          <w:szCs w:val="20"/>
          <w:color w:val="auto"/>
        </w:rPr>
        <w:tab/>
      </w:r>
      <w:r>
        <w:rPr>
          <w:rFonts w:ascii="Arial" w:cs="Arial" w:eastAsia="Arial" w:hAnsi="Arial"/>
          <w:sz w:val="18"/>
          <w:szCs w:val="18"/>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156019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236" w:lineRule="exact"/>
        <w:rPr>
          <w:sz w:val="20"/>
          <w:szCs w:val="20"/>
          <w:color w:val="auto"/>
        </w:rPr>
      </w:pPr>
    </w:p>
    <w:p>
      <w:pPr>
        <w:ind w:left="485" w:hanging="485"/>
        <w:spacing w:after="0"/>
        <w:tabs>
          <w:tab w:leader="none" w:pos="485" w:val="left"/>
        </w:tabs>
        <w:numPr>
          <w:ilvl w:val="0"/>
          <w:numId w:val="2"/>
        </w:numPr>
        <w:rPr>
          <w:rFonts w:ascii="Arial" w:cs="Arial" w:eastAsia="Arial" w:hAnsi="Arial"/>
          <w:sz w:val="17"/>
          <w:szCs w:val="17"/>
          <w:color w:val="auto"/>
        </w:rPr>
      </w:pPr>
      <w:r>
        <w:rPr>
          <w:rFonts w:ascii="Arial" w:cs="Arial" w:eastAsia="Arial" w:hAnsi="Arial"/>
          <w:sz w:val="17"/>
          <w:szCs w:val="17"/>
          <w:color w:val="auto"/>
        </w:rPr>
        <w:t>(285,277)  $   (3,281,399)</w:t>
      </w:r>
    </w:p>
    <w:p>
      <w:pPr>
        <w:spacing w:after="0" w:line="237" w:lineRule="exact"/>
        <w:rPr>
          <w:sz w:val="20"/>
          <w:szCs w:val="20"/>
          <w:color w:val="auto"/>
        </w:rPr>
      </w:pPr>
    </w:p>
    <w:p>
      <w:pPr>
        <w:ind w:left="405"/>
        <w:spacing w:after="0"/>
        <w:tabs>
          <w:tab w:leader="none" w:pos="1725" w:val="left"/>
        </w:tabs>
        <w:rPr>
          <w:sz w:val="20"/>
          <w:szCs w:val="20"/>
          <w:color w:val="auto"/>
        </w:rPr>
      </w:pPr>
      <w:r>
        <w:rPr>
          <w:rFonts w:ascii="Arial" w:cs="Arial" w:eastAsia="Arial" w:hAnsi="Arial"/>
          <w:sz w:val="17"/>
          <w:szCs w:val="17"/>
          <w:color w:val="auto"/>
        </w:rPr>
        <w:t>1,054,138</w:t>
      </w:r>
      <w:r>
        <w:rPr>
          <w:sz w:val="20"/>
          <w:szCs w:val="20"/>
          <w:color w:val="auto"/>
        </w:rPr>
        <w:tab/>
      </w:r>
      <w:r>
        <w:rPr>
          <w:rFonts w:ascii="Arial" w:cs="Arial" w:eastAsia="Arial" w:hAnsi="Arial"/>
          <w:sz w:val="17"/>
          <w:szCs w:val="17"/>
          <w:color w:val="auto"/>
        </w:rPr>
        <w:t>1,040,463</w:t>
      </w:r>
    </w:p>
    <w:p>
      <w:pPr>
        <w:spacing w:after="0" w:line="35" w:lineRule="exact"/>
        <w:rPr>
          <w:sz w:val="20"/>
          <w:szCs w:val="20"/>
          <w:color w:val="auto"/>
        </w:rPr>
      </w:pPr>
    </w:p>
    <w:p>
      <w:pPr>
        <w:ind w:left="405"/>
        <w:spacing w:after="0"/>
        <w:tabs>
          <w:tab w:leader="none" w:pos="1725" w:val="left"/>
        </w:tabs>
        <w:rPr>
          <w:sz w:val="20"/>
          <w:szCs w:val="20"/>
          <w:color w:val="auto"/>
        </w:rPr>
      </w:pPr>
      <w:r>
        <w:rPr>
          <w:rFonts w:ascii="Arial" w:cs="Arial" w:eastAsia="Arial" w:hAnsi="Arial"/>
          <w:sz w:val="17"/>
          <w:szCs w:val="17"/>
          <w:color w:val="auto"/>
        </w:rPr>
        <w:t>1,354,106</w:t>
      </w:r>
      <w:r>
        <w:rPr>
          <w:sz w:val="20"/>
          <w:szCs w:val="20"/>
          <w:color w:val="auto"/>
        </w:rPr>
        <w:tab/>
      </w:r>
      <w:r>
        <w:rPr>
          <w:rFonts w:ascii="Arial" w:cs="Arial" w:eastAsia="Arial" w:hAnsi="Arial"/>
          <w:sz w:val="17"/>
          <w:szCs w:val="17"/>
          <w:color w:val="auto"/>
        </w:rPr>
        <w:t>1,435,156</w:t>
      </w:r>
    </w:p>
    <w:p>
      <w:pPr>
        <w:spacing w:after="0" w:line="21" w:lineRule="exact"/>
        <w:rPr>
          <w:sz w:val="20"/>
          <w:szCs w:val="20"/>
          <w:color w:val="auto"/>
        </w:rPr>
      </w:pPr>
    </w:p>
    <w:p>
      <w:pPr>
        <w:ind w:left="545"/>
        <w:spacing w:after="0"/>
        <w:tabs>
          <w:tab w:leader="none" w:pos="1845" w:val="left"/>
        </w:tabs>
        <w:rPr>
          <w:sz w:val="20"/>
          <w:szCs w:val="20"/>
          <w:color w:val="auto"/>
        </w:rPr>
      </w:pPr>
      <w:r>
        <w:rPr>
          <w:rFonts w:ascii="Arial" w:cs="Arial" w:eastAsia="Arial" w:hAnsi="Arial"/>
          <w:sz w:val="18"/>
          <w:szCs w:val="18"/>
          <w:color w:val="auto"/>
        </w:rPr>
        <w:t>250,085</w:t>
      </w:r>
      <w:r>
        <w:rPr>
          <w:sz w:val="20"/>
          <w:szCs w:val="20"/>
          <w:color w:val="auto"/>
        </w:rPr>
        <w:tab/>
      </w:r>
      <w:r>
        <w:rPr>
          <w:rFonts w:ascii="Arial" w:cs="Arial" w:eastAsia="Arial" w:hAnsi="Arial"/>
          <w:sz w:val="18"/>
          <w:szCs w:val="18"/>
          <w:color w:val="auto"/>
        </w:rPr>
        <w:t>200,027</w:t>
      </w:r>
    </w:p>
    <w:p>
      <w:pPr>
        <w:spacing w:after="0" w:line="9" w:lineRule="exact"/>
        <w:rPr>
          <w:sz w:val="20"/>
          <w:szCs w:val="20"/>
          <w:color w:val="auto"/>
        </w:rPr>
      </w:pPr>
    </w:p>
    <w:p>
      <w:pPr>
        <w:ind w:left="645"/>
        <w:spacing w:after="0"/>
        <w:tabs>
          <w:tab w:leader="none" w:pos="1945" w:val="left"/>
        </w:tabs>
        <w:rPr>
          <w:sz w:val="20"/>
          <w:szCs w:val="20"/>
          <w:color w:val="auto"/>
        </w:rPr>
      </w:pPr>
      <w:r>
        <w:rPr>
          <w:rFonts w:ascii="Arial" w:cs="Arial" w:eastAsia="Arial" w:hAnsi="Arial"/>
          <w:sz w:val="18"/>
          <w:szCs w:val="18"/>
          <w:color w:val="auto"/>
        </w:rPr>
        <w:t>40,000</w:t>
      </w:r>
      <w:r>
        <w:rPr>
          <w:sz w:val="20"/>
          <w:szCs w:val="20"/>
          <w:color w:val="auto"/>
        </w:rPr>
        <w:tab/>
      </w:r>
      <w:r>
        <w:rPr>
          <w:rFonts w:ascii="Arial" w:cs="Arial" w:eastAsia="Arial" w:hAnsi="Arial"/>
          <w:sz w:val="18"/>
          <w:szCs w:val="18"/>
          <w:color w:val="auto"/>
        </w:rPr>
        <w:t>40,000</w:t>
      </w:r>
    </w:p>
    <w:p>
      <w:pPr>
        <w:spacing w:after="0" w:line="9" w:lineRule="exact"/>
        <w:rPr>
          <w:sz w:val="20"/>
          <w:szCs w:val="20"/>
          <w:color w:val="auto"/>
        </w:rPr>
      </w:pPr>
    </w:p>
    <w:p>
      <w:pPr>
        <w:ind w:left="1965" w:hanging="891"/>
        <w:spacing w:after="0"/>
        <w:tabs>
          <w:tab w:leader="none" w:pos="1965" w:val="left"/>
        </w:tabs>
        <w:numPr>
          <w:ilvl w:val="0"/>
          <w:numId w:val="3"/>
        </w:numPr>
        <w:rPr>
          <w:rFonts w:ascii="Arial" w:cs="Arial" w:eastAsia="Arial" w:hAnsi="Arial"/>
          <w:sz w:val="18"/>
          <w:szCs w:val="18"/>
          <w:color w:val="auto"/>
        </w:rPr>
      </w:pPr>
      <w:r>
        <w:rPr>
          <w:rFonts w:ascii="Arial" w:cs="Arial" w:eastAsia="Arial" w:hAnsi="Arial"/>
          <w:sz w:val="18"/>
          <w:szCs w:val="18"/>
          <w:color w:val="auto"/>
        </w:rPr>
        <w:t>30,000</w:t>
      </w:r>
    </w:p>
    <w:p>
      <w:pPr>
        <w:spacing w:after="0" w:line="211" w:lineRule="exact"/>
        <w:rPr>
          <w:sz w:val="20"/>
          <w:szCs w:val="20"/>
          <w:color w:val="auto"/>
        </w:rPr>
      </w:pPr>
    </w:p>
    <w:p>
      <w:pPr>
        <w:jc w:val="both"/>
        <w:ind w:left="585"/>
        <w:spacing w:after="0"/>
        <w:tabs>
          <w:tab w:leader="none" w:pos="1665" w:val="left"/>
        </w:tabs>
        <w:rPr>
          <w:sz w:val="20"/>
          <w:szCs w:val="20"/>
          <w:color w:val="auto"/>
        </w:rPr>
      </w:pPr>
      <w:r>
        <w:rPr>
          <w:rFonts w:ascii="Arial" w:cs="Arial" w:eastAsia="Arial" w:hAnsi="Arial"/>
          <w:sz w:val="18"/>
          <w:szCs w:val="18"/>
          <w:color w:val="auto"/>
        </w:rPr>
        <w:t>(88,221)</w:t>
      </w:r>
      <w:r>
        <w:rPr>
          <w:sz w:val="20"/>
          <w:szCs w:val="20"/>
          <w:color w:val="auto"/>
        </w:rPr>
        <w:tab/>
      </w:r>
      <w:r>
        <w:rPr>
          <w:rFonts w:ascii="Arial" w:cs="Arial" w:eastAsia="Arial" w:hAnsi="Arial"/>
          <w:sz w:val="18"/>
          <w:szCs w:val="18"/>
          <w:color w:val="auto"/>
        </w:rPr>
        <w:t>(3.427,166)</w:t>
      </w:r>
    </w:p>
    <w:p>
      <w:pPr>
        <w:spacing w:after="0" w:line="23" w:lineRule="exact"/>
        <w:rPr>
          <w:sz w:val="20"/>
          <w:szCs w:val="20"/>
          <w:color w:val="auto"/>
        </w:rPr>
      </w:pPr>
    </w:p>
    <w:p>
      <w:pPr>
        <w:jc w:val="both"/>
        <w:ind w:left="405"/>
        <w:spacing w:after="0"/>
        <w:tabs>
          <w:tab w:leader="none" w:pos="1665" w:val="left"/>
        </w:tabs>
        <w:rPr>
          <w:sz w:val="20"/>
          <w:szCs w:val="20"/>
          <w:color w:val="auto"/>
        </w:rPr>
      </w:pPr>
      <w:r>
        <w:rPr>
          <w:rFonts w:ascii="Arial" w:cs="Arial" w:eastAsia="Arial" w:hAnsi="Arial"/>
          <w:sz w:val="18"/>
          <w:szCs w:val="18"/>
          <w:color w:val="auto"/>
        </w:rPr>
        <w:t>1,332,132</w:t>
      </w:r>
      <w:r>
        <w:rPr>
          <w:sz w:val="20"/>
          <w:szCs w:val="20"/>
          <w:color w:val="auto"/>
        </w:rPr>
        <w:tab/>
      </w:r>
      <w:r>
        <w:rPr>
          <w:rFonts w:ascii="Arial" w:cs="Arial" w:eastAsia="Arial" w:hAnsi="Arial"/>
          <w:sz w:val="18"/>
          <w:szCs w:val="18"/>
          <w:color w:val="auto"/>
        </w:rPr>
        <w:t>(1,785,422)</w:t>
      </w:r>
    </w:p>
    <w:p>
      <w:pPr>
        <w:spacing w:after="0" w:line="9" w:lineRule="exact"/>
        <w:rPr>
          <w:sz w:val="20"/>
          <w:szCs w:val="20"/>
          <w:color w:val="auto"/>
        </w:rPr>
      </w:pPr>
    </w:p>
    <w:p>
      <w:pPr>
        <w:ind w:left="565"/>
        <w:spacing w:after="0"/>
        <w:tabs>
          <w:tab w:leader="none" w:pos="2025" w:val="left"/>
        </w:tabs>
        <w:rPr>
          <w:sz w:val="20"/>
          <w:szCs w:val="20"/>
          <w:color w:val="auto"/>
        </w:rPr>
      </w:pPr>
      <w:r>
        <w:rPr>
          <w:rFonts w:ascii="Arial" w:cs="Arial" w:eastAsia="Arial" w:hAnsi="Arial"/>
          <w:sz w:val="18"/>
          <w:szCs w:val="18"/>
          <w:color w:val="auto"/>
        </w:rPr>
        <w:t>187,211</w:t>
      </w:r>
      <w:r>
        <w:rPr>
          <w:sz w:val="20"/>
          <w:szCs w:val="20"/>
          <w:color w:val="auto"/>
        </w:rPr>
        <w:tab/>
      </w:r>
      <w:r>
        <w:rPr>
          <w:rFonts w:ascii="Arial" w:cs="Arial" w:eastAsia="Arial" w:hAnsi="Arial"/>
          <w:sz w:val="18"/>
          <w:szCs w:val="18"/>
          <w:color w:val="auto"/>
        </w:rPr>
        <w:t>3,747</w:t>
      </w:r>
    </w:p>
    <w:p>
      <w:pPr>
        <w:spacing w:after="0" w:line="9" w:lineRule="exact"/>
        <w:rPr>
          <w:sz w:val="20"/>
          <w:szCs w:val="20"/>
          <w:color w:val="auto"/>
        </w:rPr>
      </w:pPr>
    </w:p>
    <w:p>
      <w:pPr>
        <w:ind w:left="345"/>
        <w:spacing w:after="0"/>
        <w:tabs>
          <w:tab w:leader="none" w:pos="1725" w:val="left"/>
        </w:tabs>
        <w:rPr>
          <w:sz w:val="20"/>
          <w:szCs w:val="20"/>
          <w:color w:val="auto"/>
        </w:rPr>
      </w:pPr>
      <w:r>
        <w:rPr>
          <w:rFonts w:ascii="Arial" w:cs="Arial" w:eastAsia="Arial" w:hAnsi="Arial"/>
          <w:sz w:val="17"/>
          <w:szCs w:val="17"/>
          <w:color w:val="auto"/>
        </w:rPr>
        <w:t>(1,628,556)</w:t>
      </w:r>
      <w:r>
        <w:rPr>
          <w:sz w:val="20"/>
          <w:szCs w:val="20"/>
          <w:color w:val="auto"/>
        </w:rPr>
        <w:tab/>
      </w:r>
      <w:r>
        <w:rPr>
          <w:rFonts w:ascii="Arial" w:cs="Arial" w:eastAsia="Arial" w:hAnsi="Arial"/>
          <w:sz w:val="17"/>
          <w:szCs w:val="17"/>
          <w:color w:val="auto"/>
        </w:rPr>
        <w:t>1,878,051</w:t>
      </w:r>
    </w:p>
    <w:p>
      <w:pPr>
        <w:spacing w:after="0" w:line="21" w:lineRule="exact"/>
        <w:rPr>
          <w:sz w:val="20"/>
          <w:szCs w:val="20"/>
          <w:color w:val="auto"/>
        </w:rPr>
      </w:pPr>
    </w:p>
    <w:p>
      <w:pPr>
        <w:ind w:left="485"/>
        <w:spacing w:after="0"/>
        <w:tabs>
          <w:tab w:leader="none" w:pos="1845" w:val="left"/>
        </w:tabs>
        <w:rPr>
          <w:sz w:val="20"/>
          <w:szCs w:val="20"/>
          <w:color w:val="auto"/>
        </w:rPr>
      </w:pPr>
      <w:r>
        <w:rPr>
          <w:rFonts w:ascii="Arial" w:cs="Arial" w:eastAsia="Arial" w:hAnsi="Arial"/>
          <w:sz w:val="18"/>
          <w:szCs w:val="18"/>
          <w:color w:val="auto"/>
        </w:rPr>
        <w:t>(393,778)</w:t>
      </w:r>
      <w:r>
        <w:rPr>
          <w:sz w:val="20"/>
          <w:szCs w:val="20"/>
          <w:color w:val="auto"/>
        </w:rPr>
        <w:tab/>
      </w:r>
      <w:r>
        <w:rPr>
          <w:rFonts w:ascii="Arial" w:cs="Arial" w:eastAsia="Arial" w:hAnsi="Arial"/>
          <w:sz w:val="18"/>
          <w:szCs w:val="18"/>
          <w:color w:val="auto"/>
        </w:rPr>
        <w:t>186,682</w:t>
      </w:r>
    </w:p>
    <w:p>
      <w:pPr>
        <w:spacing w:after="0" w:line="9" w:lineRule="exact"/>
        <w:rPr>
          <w:sz w:val="20"/>
          <w:szCs w:val="20"/>
          <w:color w:val="auto"/>
        </w:rPr>
      </w:pPr>
    </w:p>
    <w:p>
      <w:pPr>
        <w:ind w:left="645"/>
        <w:spacing w:after="0"/>
        <w:tabs>
          <w:tab w:leader="none" w:pos="1945" w:val="left"/>
        </w:tabs>
        <w:rPr>
          <w:sz w:val="20"/>
          <w:szCs w:val="20"/>
          <w:color w:val="auto"/>
        </w:rPr>
      </w:pPr>
      <w:r>
        <w:rPr>
          <w:rFonts w:ascii="Arial" w:cs="Arial" w:eastAsia="Arial" w:hAnsi="Arial"/>
          <w:sz w:val="18"/>
          <w:szCs w:val="18"/>
          <w:color w:val="auto"/>
        </w:rPr>
        <w:t>33,814</w:t>
      </w:r>
      <w:r>
        <w:rPr>
          <w:sz w:val="20"/>
          <w:szCs w:val="20"/>
          <w:color w:val="auto"/>
        </w:rPr>
        <w:tab/>
      </w:r>
      <w:r>
        <w:rPr>
          <w:rFonts w:ascii="Arial" w:cs="Arial" w:eastAsia="Arial" w:hAnsi="Arial"/>
          <w:sz w:val="18"/>
          <w:szCs w:val="18"/>
          <w:color w:val="auto"/>
        </w:rPr>
        <w:t>68,678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156019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3" w:lineRule="exact"/>
        <w:rPr>
          <w:sz w:val="20"/>
          <w:szCs w:val="20"/>
          <w:color w:val="auto"/>
        </w:rPr>
      </w:pPr>
    </w:p>
    <w:p>
      <w:pPr>
        <w:jc w:val="both"/>
        <w:ind w:left="405"/>
        <w:spacing w:after="0"/>
        <w:tabs>
          <w:tab w:leader="none" w:pos="1665" w:val="left"/>
        </w:tabs>
        <w:rPr>
          <w:sz w:val="20"/>
          <w:szCs w:val="20"/>
          <w:color w:val="auto"/>
        </w:rPr>
      </w:pPr>
      <w:r>
        <w:rPr>
          <w:rFonts w:ascii="Arial" w:cs="Arial" w:eastAsia="Arial" w:hAnsi="Arial"/>
          <w:sz w:val="18"/>
          <w:szCs w:val="18"/>
          <w:color w:val="auto"/>
        </w:rPr>
        <w:t>1,855,654</w:t>
      </w:r>
      <w:r>
        <w:rPr>
          <w:sz w:val="20"/>
          <w:szCs w:val="20"/>
          <w:color w:val="auto"/>
        </w:rPr>
        <w:tab/>
      </w:r>
      <w:r>
        <w:rPr>
          <w:rFonts w:ascii="Arial" w:cs="Arial" w:eastAsia="Arial" w:hAnsi="Arial"/>
          <w:sz w:val="18"/>
          <w:szCs w:val="18"/>
          <w:color w:val="auto"/>
        </w:rPr>
        <w:t>(3,611,183)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22860</wp:posOffset>
            </wp:positionV>
            <wp:extent cx="156019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tbl>
      <w:tblPr>
        <w:tblLayout w:type="fixed"/>
        <w:tblInd w:w="5" w:type="dxa"/>
        <w:tblCellMar>
          <w:top w:w="0" w:type="dxa"/>
          <w:left w:w="0" w:type="dxa"/>
          <w:bottom w:w="0" w:type="dxa"/>
          <w:right w:w="0" w:type="dxa"/>
        </w:tblCellMar>
      </w:tblPr>
      <w:tr>
        <w:trPr>
          <w:trHeight w:val="216"/>
        </w:trPr>
        <w:tc>
          <w:tcPr>
            <w:tcW w:w="200" w:type="dxa"/>
            <w:vAlign w:val="bottom"/>
          </w:tcPr>
          <w:p>
            <w:pPr>
              <w:spacing w:after="0"/>
              <w:rPr>
                <w:sz w:val="18"/>
                <w:szCs w:val="18"/>
                <w:color w:val="auto"/>
              </w:rPr>
            </w:pP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(43,654)</w:t>
            </w:r>
          </w:p>
        </w:tc>
        <w:tc>
          <w:tcPr>
            <w:tcW w:w="200" w:type="dxa"/>
            <w:vAlign w:val="bottom"/>
          </w:tcPr>
          <w:p>
            <w:pPr>
              <w:spacing w:after="0"/>
              <w:rPr>
                <w:sz w:val="18"/>
                <w:szCs w:val="18"/>
                <w:color w:val="auto"/>
              </w:rPr>
            </w:pPr>
          </w:p>
        </w:tc>
        <w:tc>
          <w:tcPr>
            <w:tcW w:w="980" w:type="dxa"/>
            <w:vAlign w:val="bottom"/>
            <w:gridSpan w:val="4"/>
          </w:tcPr>
          <w:p>
            <w:pPr>
              <w:jc w:val="right"/>
              <w:spacing w:after="0"/>
              <w:rPr>
                <w:sz w:val="20"/>
                <w:szCs w:val="20"/>
                <w:color w:val="auto"/>
              </w:rPr>
            </w:pPr>
            <w:r>
              <w:rPr>
                <w:rFonts w:ascii="Arial" w:cs="Arial" w:eastAsia="Arial" w:hAnsi="Arial"/>
                <w:sz w:val="18"/>
                <w:szCs w:val="18"/>
                <w:color w:val="auto"/>
              </w:rPr>
              <w:t>(24,998)</w:t>
            </w:r>
          </w:p>
        </w:tc>
      </w:tr>
      <w:tr>
        <w:trPr>
          <w:trHeight w:val="251"/>
        </w:trPr>
        <w:tc>
          <w:tcPr>
            <w:tcW w:w="200" w:type="dxa"/>
            <w:vAlign w:val="bottom"/>
          </w:tcPr>
          <w:p>
            <w:pPr>
              <w:spacing w:after="0"/>
              <w:rPr>
                <w:sz w:val="21"/>
                <w:szCs w:val="21"/>
                <w:color w:val="auto"/>
              </w:rPr>
            </w:pP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(176,822)</w:t>
            </w:r>
          </w:p>
        </w:tc>
        <w:tc>
          <w:tcPr>
            <w:tcW w:w="200" w:type="dxa"/>
            <w:vAlign w:val="bottom"/>
          </w:tcPr>
          <w:p>
            <w:pPr>
              <w:spacing w:after="0"/>
              <w:rPr>
                <w:sz w:val="21"/>
                <w:szCs w:val="21"/>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23"/>
        </w:trPr>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(220,476</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(24,998</w:t>
            </w:r>
          </w:p>
        </w:tc>
        <w:tc>
          <w:tcPr>
            <w:tcW w:w="40" w:type="dxa"/>
            <w:vAlign w:val="bottom"/>
            <w:gridSpan w:val="2"/>
          </w:tcPr>
          <w:p>
            <w:pPr>
              <w:jc w:val="right"/>
              <w:spacing w:after="0"/>
              <w:rPr>
                <w:sz w:val="20"/>
                <w:szCs w:val="20"/>
                <w:color w:val="auto"/>
              </w:rPr>
            </w:pPr>
            <w:r>
              <w:rPr>
                <w:rFonts w:ascii="Arial" w:cs="Arial" w:eastAsia="Arial" w:hAnsi="Arial"/>
                <w:sz w:val="8"/>
                <w:szCs w:val="8"/>
                <w:color w:val="auto"/>
                <w:w w:val="73"/>
              </w:rPr>
              <w:t>)</w:t>
            </w:r>
          </w:p>
        </w:tc>
      </w:tr>
      <w:tr>
        <w:trPr>
          <w:trHeight w:val="634"/>
        </w:trPr>
        <w:tc>
          <w:tcPr>
            <w:tcW w:w="200" w:type="dxa"/>
            <w:vAlign w:val="bottom"/>
          </w:tcPr>
          <w:p>
            <w:pPr>
              <w:spacing w:after="0"/>
              <w:rPr>
                <w:sz w:val="24"/>
                <w:szCs w:val="24"/>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w w:val="99"/>
              </w:rPr>
              <w:t>70,671,536</w:t>
            </w:r>
          </w:p>
        </w:tc>
        <w:tc>
          <w:tcPr>
            <w:tcW w:w="200" w:type="dxa"/>
            <w:vAlign w:val="bottom"/>
          </w:tcPr>
          <w:p>
            <w:pPr>
              <w:spacing w:after="0"/>
              <w:rPr>
                <w:sz w:val="24"/>
                <w:szCs w:val="24"/>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2,710,778</w:t>
            </w:r>
          </w:p>
        </w:tc>
        <w:tc>
          <w:tcPr>
            <w:tcW w:w="2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286,983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51"/>
        </w:trPr>
        <w:tc>
          <w:tcPr>
            <w:tcW w:w="200" w:type="dxa"/>
            <w:vAlign w:val="bottom"/>
          </w:tcPr>
          <w:p>
            <w:pPr>
              <w:spacing w:after="0"/>
              <w:rPr>
                <w:sz w:val="21"/>
                <w:szCs w:val="21"/>
                <w:color w:val="auto"/>
              </w:rPr>
            </w:pP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(1,610,813)</w:t>
            </w:r>
          </w:p>
        </w:tc>
        <w:tc>
          <w:tcPr>
            <w:tcW w:w="200" w:type="dxa"/>
            <w:vAlign w:val="bottom"/>
          </w:tcPr>
          <w:p>
            <w:pPr>
              <w:spacing w:after="0"/>
              <w:rPr>
                <w:sz w:val="21"/>
                <w:szCs w:val="21"/>
                <w:color w:val="auto"/>
              </w:rPr>
            </w:pPr>
          </w:p>
        </w:tc>
        <w:tc>
          <w:tcPr>
            <w:tcW w:w="980" w:type="dxa"/>
            <w:vAlign w:val="bottom"/>
            <w:gridSpan w:val="4"/>
          </w:tcPr>
          <w:p>
            <w:pPr>
              <w:jc w:val="right"/>
              <w:spacing w:after="0"/>
              <w:rPr>
                <w:sz w:val="20"/>
                <w:szCs w:val="20"/>
                <w:color w:val="auto"/>
              </w:rPr>
            </w:pPr>
            <w:r>
              <w:rPr>
                <w:rFonts w:ascii="Arial" w:cs="Arial" w:eastAsia="Arial" w:hAnsi="Arial"/>
                <w:sz w:val="18"/>
                <w:szCs w:val="18"/>
                <w:color w:val="auto"/>
              </w:rPr>
              <w:t>(1,389,188)</w:t>
            </w:r>
          </w:p>
        </w:tc>
      </w:tr>
      <w:tr>
        <w:trPr>
          <w:trHeight w:val="223"/>
        </w:trPr>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71,771,501</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(1,102,205</w:t>
            </w:r>
          </w:p>
        </w:tc>
        <w:tc>
          <w:tcPr>
            <w:tcW w:w="40" w:type="dxa"/>
            <w:vAlign w:val="bottom"/>
            <w:gridSpan w:val="2"/>
          </w:tcPr>
          <w:p>
            <w:pPr>
              <w:jc w:val="right"/>
              <w:spacing w:after="0"/>
              <w:rPr>
                <w:sz w:val="20"/>
                <w:szCs w:val="20"/>
                <w:color w:val="auto"/>
              </w:rPr>
            </w:pPr>
            <w:r>
              <w:rPr>
                <w:rFonts w:ascii="Arial" w:cs="Arial" w:eastAsia="Arial" w:hAnsi="Arial"/>
                <w:sz w:val="8"/>
                <w:szCs w:val="8"/>
                <w:color w:val="auto"/>
                <w:w w:val="73"/>
              </w:rPr>
              <w:t>)</w:t>
            </w:r>
          </w:p>
        </w:tc>
      </w:tr>
      <w:tr>
        <w:trPr>
          <w:trHeight w:val="215"/>
        </w:trPr>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73,406,679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(4,738,386)</w:t>
            </w:r>
          </w:p>
        </w:tc>
        <w:tc>
          <w:tcPr>
            <w:tcW w:w="40" w:type="dxa"/>
            <w:vAlign w:val="bottom"/>
            <w:gridSpan w:val="2"/>
          </w:tcPr>
          <w:p>
            <w:pPr>
              <w:spacing w:after="0"/>
              <w:rPr>
                <w:sz w:val="18"/>
                <w:szCs w:val="18"/>
                <w:color w:val="auto"/>
              </w:rPr>
            </w:pPr>
          </w:p>
        </w:tc>
      </w:tr>
      <w:tr>
        <w:trPr>
          <w:trHeight w:val="230"/>
        </w:trPr>
        <w:tc>
          <w:tcPr>
            <w:tcW w:w="200" w:type="dxa"/>
            <w:vAlign w:val="bottom"/>
          </w:tcPr>
          <w:p>
            <w:pPr>
              <w:spacing w:after="0"/>
              <w:rPr>
                <w:sz w:val="20"/>
                <w:szCs w:val="20"/>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w w:val="99"/>
              </w:rPr>
              <w:t>10,516,776</w:t>
            </w:r>
          </w:p>
        </w:tc>
        <w:tc>
          <w:tcPr>
            <w:tcW w:w="200" w:type="dxa"/>
            <w:vAlign w:val="bottom"/>
          </w:tcPr>
          <w:p>
            <w:pPr>
              <w:spacing w:after="0"/>
              <w:rPr>
                <w:sz w:val="20"/>
                <w:szCs w:val="20"/>
                <w:color w:val="auto"/>
              </w:rPr>
            </w:pPr>
          </w:p>
        </w:tc>
        <w:tc>
          <w:tcPr>
            <w:tcW w:w="960" w:type="dxa"/>
            <w:vAlign w:val="bottom"/>
            <w:gridSpan w:val="3"/>
          </w:tcPr>
          <w:p>
            <w:pPr>
              <w:jc w:val="right"/>
              <w:ind w:right="1"/>
              <w:spacing w:after="0"/>
              <w:rPr>
                <w:sz w:val="20"/>
                <w:szCs w:val="20"/>
                <w:color w:val="auto"/>
              </w:rPr>
            </w:pPr>
            <w:r>
              <w:rPr>
                <w:rFonts w:ascii="Arial" w:cs="Arial" w:eastAsia="Arial" w:hAnsi="Arial"/>
                <w:sz w:val="18"/>
                <w:szCs w:val="18"/>
                <w:color w:val="auto"/>
                <w:w w:val="99"/>
              </w:rPr>
              <w:t>18,852,680</w:t>
            </w:r>
          </w:p>
        </w:tc>
        <w:tc>
          <w:tcPr>
            <w:tcW w:w="20" w:type="dxa"/>
            <w:vAlign w:val="bottom"/>
          </w:tcPr>
          <w:p>
            <w:pPr>
              <w:spacing w:after="0"/>
              <w:rPr>
                <w:sz w:val="20"/>
                <w:szCs w:val="20"/>
                <w:color w:val="auto"/>
              </w:rPr>
            </w:pPr>
          </w:p>
        </w:tc>
      </w:tr>
      <w:tr>
        <w:trPr>
          <w:trHeight w:val="27"/>
        </w:trPr>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gridSpan w:val="3"/>
            <w:shd w:val="clear" w:color="auto" w:fill="000000"/>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w w:val="99"/>
              </w:rPr>
              <w:t>83,923,455</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gridSpan w:val="3"/>
          </w:tcPr>
          <w:p>
            <w:pPr>
              <w:jc w:val="right"/>
              <w:ind w:right="1"/>
              <w:spacing w:after="0"/>
              <w:rPr>
                <w:sz w:val="20"/>
                <w:szCs w:val="20"/>
                <w:color w:val="auto"/>
              </w:rPr>
            </w:pPr>
            <w:r>
              <w:rPr>
                <w:rFonts w:ascii="Arial" w:cs="Arial" w:eastAsia="Arial" w:hAnsi="Arial"/>
                <w:sz w:val="18"/>
                <w:szCs w:val="18"/>
                <w:color w:val="auto"/>
                <w:w w:val="99"/>
              </w:rPr>
              <w:t>14,114,294</w:t>
            </w:r>
          </w:p>
        </w:tc>
        <w:tc>
          <w:tcPr>
            <w:tcW w:w="20" w:type="dxa"/>
            <w:vAlign w:val="bottom"/>
          </w:tcPr>
          <w:p>
            <w:pPr>
              <w:spacing w:after="0"/>
              <w:rPr>
                <w:sz w:val="21"/>
                <w:szCs w:val="21"/>
                <w:color w:val="auto"/>
              </w:rPr>
            </w:pPr>
          </w:p>
        </w:tc>
      </w:tr>
      <w:tr>
        <w:trPr>
          <w:trHeight w:val="20"/>
        </w:trPr>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95"/>
        </w:trPr>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200" w:type="dxa"/>
            <w:vAlign w:val="bottom"/>
            <w:tcBorders>
              <w:top w:val="single" w:sz="8" w:color="auto"/>
            </w:tcBorders>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940" w:type="dxa"/>
            <w:vAlign w:val="bottom"/>
            <w:tcBorders>
              <w:top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
        </w:trPr>
        <w:tc>
          <w:tcPr>
            <w:tcW w:w="2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320" w:space="355"/>
            <w:col w:w="2525"/>
          </w:cols>
          <w:pgMar w:left="320" w:top="877" w:right="379" w:bottom="1440" w:gutter="0" w:footer="0" w:header="0"/>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77" w:right="379" w:bottom="1440" w:gutter="0" w:footer="0" w:header="0"/>
          <w:type w:val="continuous"/>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 – NATURE OF BUSINESS AND BASIS OF PRESENTATION</w:t>
      </w:r>
    </w:p>
    <w:p>
      <w:pPr>
        <w:spacing w:after="0" w:line="22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accompanying condensed consolidated financial statements include OptimizeRx Corporation and its wholly owned subsidiaries (collectively, the “Company”, “we”, “our”, or “us”).</w:t>
      </w:r>
    </w:p>
    <w:p>
      <w:pPr>
        <w:spacing w:after="0" w:line="17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are a digital health company that provides communications solutions for life science companies, physicians and patients. Connecting over half of healthcare providers in the U.S. and millions of patients through a proprietary network, the OptimizeRx digital health platform helps patients afford and stay on medications. The platform unlocks new patient and physician touchpoints for life science companies along the patient journey, from point-of-care, to retail pharmacy, through mobile patient engagement.</w:t>
      </w:r>
    </w:p>
    <w:p>
      <w:pPr>
        <w:spacing w:after="0" w:line="18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condensed consolidated financial statements for the three and six months ended June 30, 2021 and 2020 are unaudited and have been prepared pursuant to the rules and regulations of the U.S. Securities and Exchange Commission (“SEC”). In the opinion of management, all adjustments necessary to present fairly our consolidated financial position as of June 30, 2021, and our results of operations, changes in stockholders’ equity for the three and six months ended June 30, 2021 and 2020 and the statements of cash flows for the six months ended June 30, 2021 and 2020 have been made. Those adjustments consist of normal and recurring adjustments. The condensed consolidated balance sheet as of December 31, 2020 has been derived from the audited consolidated balance sheet as of that date.</w:t>
      </w:r>
    </w:p>
    <w:p>
      <w:pPr>
        <w:spacing w:after="0" w:line="192"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Certain information and note disclosures, including a detailed discussion about the Company’s significant accounting policies, normally included in our annual financial statements prepared in accordance with generally accepted accounting principles have been condensed or omitted. These consolidated condensed financial statements should be read in conjunction with a reading of the financial statements and notes thereto included in our Annual Report on Form 10-K for the fiscal year ended December 31, 2020, as filed with the U.S. Securities and Exchange Commission on March 8, 2021.</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The results of operations for the three and six months ended June 30, 2021, are not necessarily indicative of the results to be expected for the full year.</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NOTE 2 – NEW ACCOUNTING STANDARDS</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 xml:space="preserve">In December 2019, the FASB issued ASU No.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ASU 2019-12 is intended to improve consistent application and simplify the accounting for income taxes. ASU 2019-12 removes certain exceptions to the general principles in Topic 740 and clarifies and amends existing guidance. ASU 2019-12 is effective for annual and interim reporting periods beginning after December 12, 2020, with early adoption permitted. The Company adopted this standard effective January 1, 2021. The adoption of this standard did not have a material effect on our financial position, results of operations, or cash flows.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NOTE 3 – REVENUES</w:t>
      </w:r>
    </w:p>
    <w:p>
      <w:pPr>
        <w:spacing w:after="0" w:line="225"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 xml:space="preserve">Under ASC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we record revenue when earned, rather than when billed. From time to time, we may record revenue based on our revenue recognition policies in advance of being able to invoice the customer, or we may invoice the customer prior to being able to recognize the revenue. Included in accounts receivable are unbilled amounts of $1,215,703 and $77,516 at June 30, 2021, and December 31, 2020, respectively. Amounts billed in advance of revenue recognition are presented as deferred revenue on the condensed consolidated balance sheets.</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3 – REVENUES (continued)</w:t>
      </w:r>
    </w:p>
    <w:p>
      <w:pPr>
        <w:spacing w:after="0" w:line="225"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The majority of our revenue is earned from life sciences companies, such as pharmaceutical and biotech companies, or medical device makers. A small portion of our revenue is earned from other sources, such as associations and technology companies. A break down is set forth in the table below.</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20" w:type="dxa"/>
            <w:vAlign w:val="bottom"/>
            <w:gridSpan w:val="5"/>
          </w:tcPr>
          <w:p>
            <w:pPr>
              <w:jc w:val="right"/>
              <w:ind w:right="68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18"/>
                <w:szCs w:val="18"/>
                <w:color w:val="auto"/>
              </w:rPr>
            </w:pPr>
          </w:p>
        </w:tc>
        <w:tc>
          <w:tcPr>
            <w:tcW w:w="224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41"/>
        </w:trPr>
        <w:tc>
          <w:tcPr>
            <w:tcW w:w="59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ind w:right="7"/>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02"/>
        </w:trPr>
        <w:tc>
          <w:tcPr>
            <w:tcW w:w="5980" w:type="dxa"/>
            <w:vAlign w:val="bottom"/>
          </w:tcPr>
          <w:p>
            <w:pPr>
              <w:spacing w:after="0" w:line="201" w:lineRule="exact"/>
              <w:rPr>
                <w:sz w:val="20"/>
                <w:szCs w:val="20"/>
                <w:color w:val="auto"/>
              </w:rPr>
            </w:pPr>
            <w:r>
              <w:rPr>
                <w:rFonts w:ascii="Arial" w:cs="Arial" w:eastAsia="Arial" w:hAnsi="Arial"/>
                <w:sz w:val="18"/>
                <w:szCs w:val="18"/>
                <w:color w:val="auto"/>
              </w:rPr>
              <w:t>Revenue from:</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Life Science Companies</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13,313,044</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8,336,298</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24,256,404</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15,568,032</w:t>
            </w:r>
          </w:p>
        </w:tc>
        <w:tc>
          <w:tcPr>
            <w:tcW w:w="0" w:type="dxa"/>
            <w:vAlign w:val="bottom"/>
          </w:tcPr>
          <w:p>
            <w:pPr>
              <w:spacing w:after="0"/>
              <w:rPr>
                <w:sz w:val="1"/>
                <w:szCs w:val="1"/>
                <w:color w:val="auto"/>
              </w:rPr>
            </w:pPr>
          </w:p>
        </w:tc>
      </w:tr>
      <w:tr>
        <w:trPr>
          <w:trHeight w:val="244"/>
        </w:trPr>
        <w:tc>
          <w:tcPr>
            <w:tcW w:w="5980" w:type="dxa"/>
            <w:vAlign w:val="bottom"/>
          </w:tcPr>
          <w:p>
            <w:pPr>
              <w:ind w:left="18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312,595</w:t>
            </w:r>
          </w:p>
        </w:tc>
        <w:tc>
          <w:tcPr>
            <w:tcW w:w="2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446,932</w:t>
            </w:r>
          </w:p>
        </w:tc>
        <w:tc>
          <w:tcPr>
            <w:tcW w:w="20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598,446</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799,800</w:t>
            </w:r>
          </w:p>
        </w:tc>
        <w:tc>
          <w:tcPr>
            <w:tcW w:w="0" w:type="dxa"/>
            <w:vAlign w:val="bottom"/>
          </w:tcPr>
          <w:p>
            <w:pPr>
              <w:spacing w:after="0"/>
              <w:rPr>
                <w:sz w:val="1"/>
                <w:szCs w:val="1"/>
                <w:color w:val="auto"/>
              </w:rPr>
            </w:pPr>
          </w:p>
        </w:tc>
      </w:tr>
      <w:tr>
        <w:trPr>
          <w:trHeight w:val="27"/>
        </w:trPr>
        <w:tc>
          <w:tcPr>
            <w:tcW w:w="5980" w:type="dxa"/>
            <w:vAlign w:val="bottom"/>
            <w:vMerge w:val="restart"/>
          </w:tcPr>
          <w:p>
            <w:pPr>
              <w:ind w:left="180"/>
              <w:spacing w:after="0"/>
              <w:rPr>
                <w:sz w:val="20"/>
                <w:szCs w:val="20"/>
                <w:color w:val="auto"/>
              </w:rPr>
            </w:pPr>
            <w:r>
              <w:rPr>
                <w:rFonts w:ascii="Arial" w:cs="Arial" w:eastAsia="Arial" w:hAnsi="Arial"/>
                <w:sz w:val="18"/>
                <w:szCs w:val="18"/>
                <w:color w:val="auto"/>
              </w:rPr>
              <w:t>Total Revenue</w:t>
            </w: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vMerge w:val="continue"/>
          </w:tcPr>
          <w:p>
            <w:pPr>
              <w:spacing w:after="0"/>
              <w:rPr>
                <w:sz w:val="21"/>
                <w:szCs w:val="21"/>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13,625,639</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8,783,230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24,854,850</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16,367,832</w:t>
            </w:r>
          </w:p>
        </w:tc>
        <w:tc>
          <w:tcPr>
            <w:tcW w:w="0" w:type="dxa"/>
            <w:vAlign w:val="bottom"/>
          </w:tcPr>
          <w:p>
            <w:pPr>
              <w:spacing w:after="0"/>
              <w:rPr>
                <w:sz w:val="1"/>
                <w:szCs w:val="1"/>
                <w:color w:val="auto"/>
              </w:rPr>
            </w:pPr>
          </w:p>
        </w:tc>
      </w:tr>
      <w:tr>
        <w:trPr>
          <w:trHeight w:val="21"/>
        </w:trPr>
        <w:tc>
          <w:tcPr>
            <w:tcW w:w="59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NOTE 4 – LEASES</w:t>
      </w:r>
    </w:p>
    <w:p>
      <w:pPr>
        <w:spacing w:after="0" w:line="22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have operating leases for office space in three multitenant facilities with lease terms greater than 12 months, which are recorded as assets and liabilities on our condensed consolidated balance sheets. These leases include our corporate headquarters, located in Rochester, Michigan, a customer service facility in Cranbury, New Jersey, and a technical facility in Zagreb, Croatia. Certain leases contain renewal options and, for the headquarters lease, we have assumed renewal. Lease-related assets, or right-of-use assets, are recognized at the lease commencement date at amounts equal to the respective lease liabilities, adjusted for prepaid lease payments, initial direct costs, and lease incentives received. Lease-related liabilities are recognized at the present value of the remaining contractual fixed lease payments, discounted using our incremental borrowing rate. Amortization of the right of use assets is recognized as non-cash lease expense on a straight-line basis over the lease term, while variable lease payments are expensed as incurred. Short term lease costs include month to month leases in shared office space facilities, such as WeWork, or similar locations.</w:t>
      </w:r>
    </w:p>
    <w:p>
      <w:pPr>
        <w:spacing w:after="0" w:line="16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For the three and six months ended June 30, 2021, the Company’s lease cost consisted of the following components, each of which is included in operating expenses within the Company’s condensed consolidated statements of operations: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10" w:name="page11"/>
    <w:bookmarkEnd w:id="10"/>
    <w:p>
      <w:pPr>
        <w:jc w:val="center"/>
        <w:ind w:right="-7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CONDENSED CONSOLIDATED FINANCIAL STATEMENTS (UNAUDITED)</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JUNE 30, 2021</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NOTE 4 – LEASES (continued)</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680" w:type="dxa"/>
            <w:vAlign w:val="bottom"/>
          </w:tcPr>
          <w:p>
            <w:pPr>
              <w:spacing w:after="0"/>
              <w:rPr>
                <w:sz w:val="24"/>
                <w:szCs w:val="24"/>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1"/>
              </w:rPr>
              <w:t>Three Months</w:t>
            </w:r>
          </w:p>
        </w:tc>
        <w:tc>
          <w:tcPr>
            <w:tcW w:w="100" w:type="dxa"/>
            <w:vAlign w:val="bottom"/>
          </w:tcPr>
          <w:p>
            <w:pPr>
              <w:spacing w:after="0"/>
              <w:rPr>
                <w:sz w:val="24"/>
                <w:szCs w:val="24"/>
                <w:color w:val="auto"/>
              </w:rPr>
            </w:pPr>
          </w:p>
        </w:tc>
        <w:tc>
          <w:tcPr>
            <w:tcW w:w="102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Six Months</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0"/>
              </w:rPr>
              <w:t>Ended</w:t>
            </w:r>
          </w:p>
        </w:tc>
        <w:tc>
          <w:tcPr>
            <w:tcW w:w="100" w:type="dxa"/>
            <w:vAlign w:val="bottom"/>
          </w:tcPr>
          <w:p>
            <w:pPr>
              <w:spacing w:after="0"/>
              <w:rPr>
                <w:sz w:val="18"/>
                <w:szCs w:val="18"/>
                <w:color w:val="auto"/>
              </w:rPr>
            </w:pPr>
          </w:p>
        </w:tc>
        <w:tc>
          <w:tcPr>
            <w:tcW w:w="102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Ended</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8"/>
              </w:rPr>
              <w:t>June 30,</w:t>
            </w:r>
          </w:p>
        </w:tc>
        <w:tc>
          <w:tcPr>
            <w:tcW w:w="100" w:type="dxa"/>
            <w:vAlign w:val="bottom"/>
          </w:tcPr>
          <w:p>
            <w:pPr>
              <w:spacing w:after="0"/>
              <w:rPr>
                <w:sz w:val="18"/>
                <w:szCs w:val="18"/>
                <w:color w:val="auto"/>
              </w:rPr>
            </w:pPr>
          </w:p>
        </w:tc>
        <w:tc>
          <w:tcPr>
            <w:tcW w:w="102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June 30,</w:t>
            </w:r>
          </w:p>
        </w:tc>
        <w:tc>
          <w:tcPr>
            <w:tcW w:w="0" w:type="dxa"/>
            <w:vAlign w:val="bottom"/>
          </w:tcPr>
          <w:p>
            <w:pPr>
              <w:spacing w:after="0"/>
              <w:rPr>
                <w:sz w:val="1"/>
                <w:szCs w:val="1"/>
                <w:color w:val="auto"/>
              </w:rPr>
            </w:pPr>
          </w:p>
        </w:tc>
      </w:tr>
      <w:tr>
        <w:trPr>
          <w:trHeight w:val="241"/>
        </w:trPr>
        <w:tc>
          <w:tcPr>
            <w:tcW w:w="86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2021</w:t>
            </w:r>
          </w:p>
        </w:tc>
        <w:tc>
          <w:tcPr>
            <w:tcW w:w="0" w:type="dxa"/>
            <w:vAlign w:val="bottom"/>
          </w:tcPr>
          <w:p>
            <w:pPr>
              <w:spacing w:after="0"/>
              <w:rPr>
                <w:sz w:val="1"/>
                <w:szCs w:val="1"/>
                <w:color w:val="auto"/>
              </w:rPr>
            </w:pPr>
          </w:p>
        </w:tc>
      </w:tr>
      <w:tr>
        <w:trPr>
          <w:trHeight w:val="418"/>
        </w:trPr>
        <w:tc>
          <w:tcPr>
            <w:tcW w:w="8680" w:type="dxa"/>
            <w:vAlign w:val="bottom"/>
          </w:tcPr>
          <w:p>
            <w:pPr>
              <w:spacing w:after="0"/>
              <w:rPr>
                <w:sz w:val="20"/>
                <w:szCs w:val="20"/>
                <w:color w:val="auto"/>
              </w:rPr>
            </w:pPr>
            <w:r>
              <w:rPr>
                <w:rFonts w:ascii="Arial" w:cs="Arial" w:eastAsia="Arial" w:hAnsi="Arial"/>
                <w:sz w:val="18"/>
                <w:szCs w:val="18"/>
                <w:color w:val="auto"/>
              </w:rPr>
              <w:t>Operating lease cost</w:t>
            </w:r>
          </w:p>
        </w:tc>
        <w:tc>
          <w:tcPr>
            <w:tcW w:w="160" w:type="dxa"/>
            <w:vAlign w:val="bottom"/>
          </w:tcPr>
          <w:p>
            <w:pPr>
              <w:jc w:val="right"/>
              <w:ind w:right="1"/>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33,365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66,730</w:t>
            </w:r>
          </w:p>
        </w:tc>
        <w:tc>
          <w:tcPr>
            <w:tcW w:w="0" w:type="dxa"/>
            <w:vAlign w:val="bottom"/>
          </w:tcPr>
          <w:p>
            <w:pPr>
              <w:spacing w:after="0"/>
              <w:rPr>
                <w:sz w:val="1"/>
                <w:szCs w:val="1"/>
                <w:color w:val="auto"/>
              </w:rPr>
            </w:pPr>
          </w:p>
        </w:tc>
      </w:tr>
      <w:tr>
        <w:trPr>
          <w:trHeight w:val="244"/>
        </w:trPr>
        <w:tc>
          <w:tcPr>
            <w:tcW w:w="8680" w:type="dxa"/>
            <w:vAlign w:val="bottom"/>
          </w:tcPr>
          <w:p>
            <w:pPr>
              <w:spacing w:after="0"/>
              <w:rPr>
                <w:sz w:val="20"/>
                <w:szCs w:val="20"/>
                <w:color w:val="auto"/>
              </w:rPr>
            </w:pPr>
            <w:r>
              <w:rPr>
                <w:rFonts w:ascii="Arial" w:cs="Arial" w:eastAsia="Arial" w:hAnsi="Arial"/>
                <w:sz w:val="18"/>
                <w:szCs w:val="18"/>
                <w:color w:val="auto"/>
              </w:rPr>
              <w:t>Short-term lease cost (1)</w:t>
            </w: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16,890</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32,814</w:t>
            </w:r>
          </w:p>
        </w:tc>
        <w:tc>
          <w:tcPr>
            <w:tcW w:w="0" w:type="dxa"/>
            <w:vAlign w:val="bottom"/>
          </w:tcPr>
          <w:p>
            <w:pPr>
              <w:spacing w:after="0"/>
              <w:rPr>
                <w:sz w:val="1"/>
                <w:szCs w:val="1"/>
                <w:color w:val="auto"/>
              </w:rPr>
            </w:pPr>
          </w:p>
        </w:tc>
      </w:tr>
      <w:tr>
        <w:trPr>
          <w:trHeight w:val="27"/>
        </w:trPr>
        <w:tc>
          <w:tcPr>
            <w:tcW w:w="8680" w:type="dxa"/>
            <w:vAlign w:val="bottom"/>
            <w:vMerge w:val="restart"/>
          </w:tcPr>
          <w:p>
            <w:pPr>
              <w:spacing w:after="0"/>
              <w:rPr>
                <w:sz w:val="20"/>
                <w:szCs w:val="20"/>
                <w:color w:val="auto"/>
              </w:rPr>
            </w:pPr>
            <w:r>
              <w:rPr>
                <w:rFonts w:ascii="Arial" w:cs="Arial" w:eastAsia="Arial" w:hAnsi="Arial"/>
                <w:sz w:val="18"/>
                <w:szCs w:val="18"/>
                <w:color w:val="auto"/>
              </w:rPr>
              <w:t>Total lease cost</w:t>
            </w: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tcPr>
          <w:p>
            <w:pPr>
              <w:spacing w:after="0"/>
              <w:rPr>
                <w:sz w:val="21"/>
                <w:szCs w:val="21"/>
                <w:color w:val="auto"/>
              </w:rPr>
            </w:pPr>
          </w:p>
        </w:tc>
        <w:tc>
          <w:tcPr>
            <w:tcW w:w="160" w:type="dxa"/>
            <w:vAlign w:val="bottom"/>
          </w:tcPr>
          <w:p>
            <w:pPr>
              <w:jc w:val="right"/>
              <w:ind w:right="1"/>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50,255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99,544</w:t>
            </w: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Short-term lease cost includes any lease with a term of less than 12 months.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the three and six months ended June 30, 2020, the Company’s lease cost consisted of the following components, each of which is included in operating expenses within the Company’s condensed consolidated statements of operations: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34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91"/>
              </w:rPr>
              <w:t>Three Months</w:t>
            </w:r>
          </w:p>
        </w:tc>
        <w:tc>
          <w:tcPr>
            <w:tcW w:w="100" w:type="dxa"/>
            <w:vAlign w:val="bottom"/>
          </w:tcPr>
          <w:p>
            <w:pPr>
              <w:spacing w:after="0"/>
              <w:rPr>
                <w:sz w:val="18"/>
                <w:szCs w:val="18"/>
                <w:color w:val="auto"/>
              </w:rPr>
            </w:pPr>
          </w:p>
        </w:tc>
        <w:tc>
          <w:tcPr>
            <w:tcW w:w="102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Six Months</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3"/>
          </w:tcPr>
          <w:p>
            <w:pPr>
              <w:jc w:val="center"/>
              <w:ind w:right="440"/>
              <w:spacing w:after="0"/>
              <w:rPr>
                <w:sz w:val="20"/>
                <w:szCs w:val="20"/>
                <w:color w:val="auto"/>
              </w:rPr>
            </w:pPr>
            <w:r>
              <w:rPr>
                <w:rFonts w:ascii="Arial" w:cs="Arial" w:eastAsia="Arial" w:hAnsi="Arial"/>
                <w:sz w:val="18"/>
                <w:szCs w:val="18"/>
                <w:b w:val="1"/>
                <w:bCs w:val="1"/>
                <w:color w:val="auto"/>
                <w:w w:val="90"/>
              </w:rPr>
              <w:t>Ended</w:t>
            </w:r>
          </w:p>
        </w:tc>
        <w:tc>
          <w:tcPr>
            <w:tcW w:w="100" w:type="dxa"/>
            <w:vAlign w:val="bottom"/>
          </w:tcPr>
          <w:p>
            <w:pPr>
              <w:spacing w:after="0"/>
              <w:rPr>
                <w:sz w:val="18"/>
                <w:szCs w:val="18"/>
                <w:color w:val="auto"/>
              </w:rPr>
            </w:pPr>
          </w:p>
        </w:tc>
        <w:tc>
          <w:tcPr>
            <w:tcW w:w="102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Ended</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w w:val="88"/>
              </w:rPr>
              <w:t>June 30,</w:t>
            </w:r>
          </w:p>
        </w:tc>
        <w:tc>
          <w:tcPr>
            <w:tcW w:w="100" w:type="dxa"/>
            <w:vAlign w:val="bottom"/>
          </w:tcPr>
          <w:p>
            <w:pPr>
              <w:spacing w:after="0"/>
              <w:rPr>
                <w:sz w:val="18"/>
                <w:szCs w:val="18"/>
                <w:color w:val="auto"/>
              </w:rPr>
            </w:pPr>
          </w:p>
        </w:tc>
        <w:tc>
          <w:tcPr>
            <w:tcW w:w="102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June 30,</w:t>
            </w:r>
          </w:p>
        </w:tc>
        <w:tc>
          <w:tcPr>
            <w:tcW w:w="0" w:type="dxa"/>
            <w:vAlign w:val="bottom"/>
          </w:tcPr>
          <w:p>
            <w:pPr>
              <w:spacing w:after="0"/>
              <w:rPr>
                <w:sz w:val="1"/>
                <w:szCs w:val="1"/>
                <w:color w:val="auto"/>
              </w:rPr>
            </w:pPr>
          </w:p>
        </w:tc>
      </w:tr>
      <w:tr>
        <w:trPr>
          <w:trHeight w:val="241"/>
        </w:trPr>
        <w:tc>
          <w:tcPr>
            <w:tcW w:w="86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2020</w:t>
            </w:r>
          </w:p>
        </w:tc>
        <w:tc>
          <w:tcPr>
            <w:tcW w:w="0" w:type="dxa"/>
            <w:vAlign w:val="bottom"/>
          </w:tcPr>
          <w:p>
            <w:pPr>
              <w:spacing w:after="0"/>
              <w:rPr>
                <w:sz w:val="1"/>
                <w:szCs w:val="1"/>
                <w:color w:val="auto"/>
              </w:rPr>
            </w:pPr>
          </w:p>
        </w:tc>
      </w:tr>
      <w:tr>
        <w:trPr>
          <w:trHeight w:val="418"/>
        </w:trPr>
        <w:tc>
          <w:tcPr>
            <w:tcW w:w="8680" w:type="dxa"/>
            <w:vAlign w:val="bottom"/>
          </w:tcPr>
          <w:p>
            <w:pPr>
              <w:spacing w:after="0"/>
              <w:rPr>
                <w:sz w:val="20"/>
                <w:szCs w:val="20"/>
                <w:color w:val="auto"/>
              </w:rPr>
            </w:pPr>
            <w:r>
              <w:rPr>
                <w:rFonts w:ascii="Arial" w:cs="Arial" w:eastAsia="Arial" w:hAnsi="Arial"/>
                <w:sz w:val="18"/>
                <w:szCs w:val="18"/>
                <w:color w:val="auto"/>
              </w:rPr>
              <w:t>Operating lease cost</w:t>
            </w:r>
          </w:p>
        </w:tc>
        <w:tc>
          <w:tcPr>
            <w:tcW w:w="160" w:type="dxa"/>
            <w:vAlign w:val="bottom"/>
          </w:tcPr>
          <w:p>
            <w:pPr>
              <w:jc w:val="right"/>
              <w:ind w:right="1"/>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32,814</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65,627</w:t>
            </w:r>
          </w:p>
        </w:tc>
        <w:tc>
          <w:tcPr>
            <w:tcW w:w="0" w:type="dxa"/>
            <w:vAlign w:val="bottom"/>
          </w:tcPr>
          <w:p>
            <w:pPr>
              <w:spacing w:after="0"/>
              <w:rPr>
                <w:sz w:val="1"/>
                <w:szCs w:val="1"/>
                <w:color w:val="auto"/>
              </w:rPr>
            </w:pPr>
          </w:p>
        </w:tc>
      </w:tr>
      <w:tr>
        <w:trPr>
          <w:trHeight w:val="244"/>
        </w:trPr>
        <w:tc>
          <w:tcPr>
            <w:tcW w:w="8680" w:type="dxa"/>
            <w:vAlign w:val="bottom"/>
          </w:tcPr>
          <w:p>
            <w:pPr>
              <w:spacing w:after="0"/>
              <w:rPr>
                <w:sz w:val="20"/>
                <w:szCs w:val="20"/>
                <w:color w:val="auto"/>
              </w:rPr>
            </w:pPr>
            <w:r>
              <w:rPr>
                <w:rFonts w:ascii="Arial" w:cs="Arial" w:eastAsia="Arial" w:hAnsi="Arial"/>
                <w:sz w:val="18"/>
                <w:szCs w:val="18"/>
                <w:color w:val="auto"/>
              </w:rPr>
              <w:t>Short-term lease cost (1)</w:t>
            </w:r>
          </w:p>
        </w:tc>
        <w:tc>
          <w:tcPr>
            <w:tcW w:w="16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36,186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80,815</w:t>
            </w:r>
          </w:p>
        </w:tc>
        <w:tc>
          <w:tcPr>
            <w:tcW w:w="0" w:type="dxa"/>
            <w:vAlign w:val="bottom"/>
          </w:tcPr>
          <w:p>
            <w:pPr>
              <w:spacing w:after="0"/>
              <w:rPr>
                <w:sz w:val="1"/>
                <w:szCs w:val="1"/>
                <w:color w:val="auto"/>
              </w:rPr>
            </w:pPr>
          </w:p>
        </w:tc>
      </w:tr>
      <w:tr>
        <w:trPr>
          <w:trHeight w:val="27"/>
        </w:trPr>
        <w:tc>
          <w:tcPr>
            <w:tcW w:w="8680" w:type="dxa"/>
            <w:vAlign w:val="bottom"/>
            <w:vMerge w:val="restart"/>
          </w:tcPr>
          <w:p>
            <w:pPr>
              <w:spacing w:after="0"/>
              <w:rPr>
                <w:sz w:val="20"/>
                <w:szCs w:val="20"/>
                <w:color w:val="auto"/>
              </w:rPr>
            </w:pPr>
            <w:r>
              <w:rPr>
                <w:rFonts w:ascii="Arial" w:cs="Arial" w:eastAsia="Arial" w:hAnsi="Arial"/>
                <w:sz w:val="18"/>
                <w:szCs w:val="18"/>
                <w:color w:val="auto"/>
              </w:rPr>
              <w:t>Total lease cost</w:t>
            </w: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tcPr>
          <w:p>
            <w:pPr>
              <w:spacing w:after="0"/>
              <w:rPr>
                <w:sz w:val="21"/>
                <w:szCs w:val="21"/>
                <w:color w:val="auto"/>
              </w:rPr>
            </w:pPr>
          </w:p>
        </w:tc>
        <w:tc>
          <w:tcPr>
            <w:tcW w:w="160" w:type="dxa"/>
            <w:vAlign w:val="bottom"/>
          </w:tcPr>
          <w:p>
            <w:pPr>
              <w:jc w:val="right"/>
              <w:ind w:right="1"/>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69,000</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146,442</w:t>
            </w:r>
          </w:p>
        </w:tc>
        <w:tc>
          <w:tcPr>
            <w:tcW w:w="0" w:type="dxa"/>
            <w:vAlign w:val="bottom"/>
          </w:tcPr>
          <w:p>
            <w:pPr>
              <w:spacing w:after="0"/>
              <w:rPr>
                <w:sz w:val="1"/>
                <w:szCs w:val="1"/>
                <w:color w:val="auto"/>
              </w:rPr>
            </w:pPr>
          </w:p>
        </w:tc>
      </w:tr>
      <w:tr>
        <w:trPr>
          <w:trHeight w:val="21"/>
        </w:trPr>
        <w:tc>
          <w:tcPr>
            <w:tcW w:w="8680" w:type="dxa"/>
            <w:vAlign w:val="bottom"/>
            <w:vMerge w:val="restart"/>
          </w:tcPr>
          <w:p>
            <w:pPr>
              <w:spacing w:after="0"/>
              <w:rPr>
                <w:sz w:val="20"/>
                <w:szCs w:val="20"/>
                <w:color w:val="auto"/>
              </w:rPr>
            </w:pPr>
            <w:r>
              <w:rPr>
                <w:rFonts w:ascii="Arial" w:cs="Arial" w:eastAsia="Arial" w:hAnsi="Arial"/>
                <w:sz w:val="18"/>
                <w:szCs w:val="18"/>
                <w:color w:val="auto"/>
              </w:rPr>
              <w:t>(1)  Short-term lease cost includes any lease with a term of less than 12 months.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Arial" w:cs="Arial" w:eastAsia="Arial" w:hAnsi="Arial"/>
                <w:sz w:val="18"/>
                <w:szCs w:val="18"/>
                <w:color w:val="auto"/>
                <w:w w:val="91"/>
              </w:rPr>
              <w:t>The table below presents the future minimum lease payments to be made under operating leases as of June 30, 2021:</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86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As of June 30, 2021</w:t>
            </w: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8680" w:type="dxa"/>
            <w:vAlign w:val="bottom"/>
          </w:tcPr>
          <w:p>
            <w:pPr>
              <w:spacing w:after="0"/>
              <w:rPr>
                <w:sz w:val="20"/>
                <w:szCs w:val="20"/>
                <w:color w:val="auto"/>
              </w:rPr>
            </w:pPr>
            <w:r>
              <w:rPr>
                <w:rFonts w:ascii="Arial" w:cs="Arial" w:eastAsia="Arial" w:hAnsi="Arial"/>
                <w:sz w:val="18"/>
                <w:szCs w:val="18"/>
                <w:color w:val="auto"/>
              </w:rPr>
              <w:t>2021(a)</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71,176</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2022</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104,572</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2023</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101,414</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2024</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80,742</w:t>
            </w:r>
          </w:p>
        </w:tc>
        <w:tc>
          <w:tcPr>
            <w:tcW w:w="0" w:type="dxa"/>
            <w:vAlign w:val="bottom"/>
          </w:tcPr>
          <w:p>
            <w:pPr>
              <w:spacing w:after="0"/>
              <w:rPr>
                <w:sz w:val="1"/>
                <w:szCs w:val="1"/>
                <w:color w:val="auto"/>
              </w:rPr>
            </w:pPr>
          </w:p>
        </w:tc>
      </w:tr>
      <w:tr>
        <w:trPr>
          <w:trHeight w:val="251"/>
        </w:trPr>
        <w:tc>
          <w:tcPr>
            <w:tcW w:w="8680" w:type="dxa"/>
            <w:vAlign w:val="bottom"/>
          </w:tcPr>
          <w:p>
            <w:pPr>
              <w:spacing w:after="0"/>
              <w:rPr>
                <w:sz w:val="20"/>
                <w:szCs w:val="20"/>
                <w:color w:val="auto"/>
              </w:rPr>
            </w:pPr>
            <w:r>
              <w:rPr>
                <w:rFonts w:ascii="Arial" w:cs="Arial" w:eastAsia="Arial" w:hAnsi="Arial"/>
                <w:sz w:val="18"/>
                <w:szCs w:val="18"/>
                <w:color w:val="auto"/>
              </w:rPr>
              <w:t>2025</w:t>
            </w: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70,224</w:t>
            </w:r>
          </w:p>
        </w:tc>
        <w:tc>
          <w:tcPr>
            <w:tcW w:w="0" w:type="dxa"/>
            <w:vAlign w:val="bottom"/>
          </w:tcPr>
          <w:p>
            <w:pPr>
              <w:spacing w:after="0"/>
              <w:rPr>
                <w:sz w:val="1"/>
                <w:szCs w:val="1"/>
                <w:color w:val="auto"/>
              </w:rPr>
            </w:pPr>
          </w:p>
        </w:tc>
      </w:tr>
      <w:tr>
        <w:trPr>
          <w:trHeight w:val="202"/>
        </w:trPr>
        <w:tc>
          <w:tcPr>
            <w:tcW w:w="8680" w:type="dxa"/>
            <w:vAlign w:val="bottom"/>
          </w:tcPr>
          <w:p>
            <w:pPr>
              <w:spacing w:after="0" w:line="201" w:lineRule="exact"/>
              <w:rPr>
                <w:sz w:val="20"/>
                <w:szCs w:val="20"/>
                <w:color w:val="auto"/>
              </w:rPr>
            </w:pPr>
            <w:r>
              <w:rPr>
                <w:rFonts w:ascii="Arial" w:cs="Arial" w:eastAsia="Arial" w:hAnsi="Arial"/>
                <w:sz w:val="18"/>
                <w:szCs w:val="18"/>
                <w:color w:val="auto"/>
              </w:rPr>
              <w:t>Total</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line="201" w:lineRule="exact"/>
              <w:rPr>
                <w:sz w:val="20"/>
                <w:szCs w:val="20"/>
                <w:color w:val="auto"/>
              </w:rPr>
            </w:pPr>
            <w:r>
              <w:rPr>
                <w:rFonts w:ascii="Arial" w:cs="Arial" w:eastAsia="Arial" w:hAnsi="Arial"/>
                <w:sz w:val="18"/>
                <w:szCs w:val="18"/>
                <w:color w:val="auto"/>
              </w:rPr>
              <w:t>428,128</w:t>
            </w:r>
          </w:p>
        </w:tc>
        <w:tc>
          <w:tcPr>
            <w:tcW w:w="0" w:type="dxa"/>
            <w:vAlign w:val="bottom"/>
          </w:tcPr>
          <w:p>
            <w:pPr>
              <w:spacing w:after="0"/>
              <w:rPr>
                <w:sz w:val="1"/>
                <w:szCs w:val="1"/>
                <w:color w:val="auto"/>
              </w:rPr>
            </w:pPr>
          </w:p>
        </w:tc>
      </w:tr>
      <w:tr>
        <w:trPr>
          <w:trHeight w:val="251"/>
        </w:trPr>
        <w:tc>
          <w:tcPr>
            <w:tcW w:w="8680" w:type="dxa"/>
            <w:vAlign w:val="bottom"/>
          </w:tcPr>
          <w:p>
            <w:pPr>
              <w:spacing w:after="0"/>
              <w:rPr>
                <w:sz w:val="20"/>
                <w:szCs w:val="20"/>
                <w:color w:val="auto"/>
              </w:rPr>
            </w:pPr>
            <w:r>
              <w:rPr>
                <w:rFonts w:ascii="Arial" w:cs="Arial" w:eastAsia="Arial" w:hAnsi="Arial"/>
                <w:sz w:val="18"/>
                <w:szCs w:val="18"/>
                <w:color w:val="auto"/>
              </w:rPr>
              <w:t>Less: imputed interest</w:t>
            </w: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34,923</w:t>
            </w:r>
          </w:p>
        </w:tc>
        <w:tc>
          <w:tcPr>
            <w:tcW w:w="0" w:type="dxa"/>
            <w:vAlign w:val="bottom"/>
          </w:tcPr>
          <w:p>
            <w:pPr>
              <w:spacing w:after="0"/>
              <w:rPr>
                <w:sz w:val="1"/>
                <w:szCs w:val="1"/>
                <w:color w:val="auto"/>
              </w:rPr>
            </w:pPr>
          </w:p>
        </w:tc>
      </w:tr>
      <w:tr>
        <w:trPr>
          <w:trHeight w:val="250"/>
        </w:trPr>
        <w:tc>
          <w:tcPr>
            <w:tcW w:w="8680" w:type="dxa"/>
            <w:vAlign w:val="bottom"/>
          </w:tcPr>
          <w:p>
            <w:pPr>
              <w:spacing w:after="0" w:line="203" w:lineRule="exact"/>
              <w:rPr>
                <w:sz w:val="20"/>
                <w:szCs w:val="20"/>
                <w:color w:val="auto"/>
              </w:rPr>
            </w:pPr>
            <w:r>
              <w:rPr>
                <w:rFonts w:ascii="Arial" w:cs="Arial" w:eastAsia="Arial" w:hAnsi="Arial"/>
                <w:sz w:val="18"/>
                <w:szCs w:val="18"/>
                <w:color w:val="auto"/>
              </w:rPr>
              <w:t>Total lease liabilities</w:t>
            </w: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393,205</w:t>
            </w: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 For the six-month period beginning July 1, 2021.</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877" w:right="39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4 – LEASES (continued)</w:t>
      </w:r>
    </w:p>
    <w:p>
      <w:pPr>
        <w:spacing w:after="0" w:line="22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weighted average remaining lease term at June 30, 2021 for operating leases was 3.93 years and the weighted average discount rate used in calculating the operating lease asset and liability was 4.5%. Cash paid for amounts included in the measurement of lease liabilities was $62,069 and $57,019 for the six months ended June 30, 2021 and 2020, respectively. For the six months ended June 30, 2021 and 2020, payments on lease obligations were $71,397 and $68,900, respectively, and amortization on the right of use assets was $60,013 and $56,357,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NOTE 5 – STOCKHOLDERS’ EQUITY</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During the quarter ended March 31, 2021, in an underwritten primary offering, we issued 1,523,750 shares of our common stock for gross proceeds of</w:t>
      </w:r>
    </w:p>
    <w:p>
      <w:pPr>
        <w:spacing w:after="0" w:line="46"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$75,425,625. In connection with this transaction, we incurred equity issuance costs of $4,754,089 related to payments to the underwriter, advisors and legal fees associated with the transaction, resulting in net proceeds to the Company of $70,671,536.</w:t>
      </w:r>
    </w:p>
    <w:p>
      <w:pPr>
        <w:spacing w:after="0" w:line="18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During the quarters ended June 30, 2021 and March 31, 2021, we issued 232,806 shares and 510,803 shares of our common stock, respectively, and received proceeds of $1,590,767 and $1,120,011, respectively, in connection with the exercise of stock options under our 2013 equity incentive plan. Of the shares issued in the quarter ended March 31, 2021, a total of 368,329 shares were issued in a cashless transaction related to 394,739 expiring options using the net settled method whereby 26,410 options were used to pay the purchase price. The remaining 116,064 shares issued in connection with the exercise of options were all issued for cash.</w:t>
      </w:r>
    </w:p>
    <w:p>
      <w:pPr>
        <w:spacing w:after="0" w:line="188"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During the quarters ended June 30, 2020, and March 31, 2020 we issued 55,731 shares and 35,032 shares of our common stock, respectively, and received proceeds of $174,831 and $112,152, respectively, in connection with the exercise of stock options under our 2013 equity compensation plan.</w:t>
      </w:r>
    </w:p>
    <w:p>
      <w:pPr>
        <w:spacing w:after="0" w:line="12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We also issued 42,374 shares in the six months ended June 30, 2020 in connection with restricted stock awards as described in more detail in Note 6 – Stock Based Compensation.</w:t>
      </w:r>
    </w:p>
    <w:p>
      <w:pPr>
        <w:spacing w:after="0" w:line="170"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Our Director Compensation Plan calls for issuance of shares of common stock each quarter to each independent director. In 2021, we issued 2,695 shares valued at $124,994 in the quarter ended March 31, 2021 and 2,035 shares valued at $125,091 in the quarter ended June 30, 2021. In 2020, we issued 11,136 shares valued at $100,000 in the quarter ended March 31, 2020, and 7,748 shares valued at $100,027 in the quarter ended June 30, 2020.</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NOTE 6 – STOCK BASED COMPENSATION</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use the fair value method to account for stock-based compensation. We recorded $954,434 and $1,021,787 in compensation expense in the six months ended June 30, 2021 and 2020, respectively, related to options issued under our 2013 equity incentive plan. This includes expense related to options issued in prior years for which the requisite service period for those options includes the current period as well as options issued in the current period. The fair value of these instruments was calculated using the Black-Scholes option pricing model. There is $6,183,249 of remaining expense related to unvested options to be recognized in the future over a weighted average remaining period of approximately 2.5 years. The total intrinsic value of outstanding options at June 30, 2021 was $44,669,554.</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12" w:name="page13"/>
    <w:bookmarkEnd w:id="12"/>
    <w:p>
      <w:pPr>
        <w:jc w:val="center"/>
        <w:ind w:right="-3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 (UNAUDITED)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JUNE 30, 2021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6 – STOCK BASED COMPENSATION (continued)</w:t>
      </w:r>
    </w:p>
    <w:p>
      <w:pPr>
        <w:spacing w:after="0" w:line="225"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In addition to the grants to independent Directors described in Note 5 – Stockholders’ Equity, we also recorded $399,672 and $413,369 in compensation expense related to restricted stock awards that vest over time in the six months ended June 30, 2021, and 2020, respectively. There is $2,588,851 of remaining expense related to unvested restricted stock awards to be recognized in the future over a weighted average period of 3.4 years. A total of 42,374 shares related to restricted stock awards that vested in the six months ended June 30, 2020 and were issued during that same period.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NOTE 7 – EARNINGS (LOSS) PER SHARE</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Basic earnings per share (“EPS”) is computed by dividing net income (loss) by the weighted average number of common shares during the period.</w:t>
      </w:r>
    </w:p>
    <w:p>
      <w:pPr>
        <w:spacing w:after="0" w:line="237" w:lineRule="exact"/>
        <w:rPr>
          <w:sz w:val="20"/>
          <w:szCs w:val="20"/>
          <w:color w:val="auto"/>
        </w:rPr>
      </w:pPr>
    </w:p>
    <w:p>
      <w:pPr>
        <w:ind w:right="240"/>
        <w:spacing w:after="0" w:line="293" w:lineRule="auto"/>
        <w:rPr>
          <w:sz w:val="20"/>
          <w:szCs w:val="20"/>
          <w:color w:val="auto"/>
        </w:rPr>
      </w:pPr>
      <w:r>
        <w:rPr>
          <w:rFonts w:ascii="Arial" w:cs="Arial" w:eastAsia="Arial" w:hAnsi="Arial"/>
          <w:sz w:val="16"/>
          <w:szCs w:val="16"/>
          <w:color w:val="auto"/>
        </w:rPr>
        <w:t>The number of shares related to options, restricted stock and other similar instruments included in diluted EPS is based on the “Treasury Stock Method” prescribed in ASC 260-10, Earnings per Share. This method assumes the theoretical repurchase of shares using proceeds of the respective stock option exercised, and for restricted stock, the amount of compensation cost attributed to future services which have not yet been recognized, and the amount of current and deferred tax benefit, if any, that would be credited to additional paid in capital upon the vesting of the restricted stock, at a price equal to the issuer’s average stock price during the related earnings period. Accordingly, the number of shares includable in the calculation of EPS in respect of the stock options, restricted stock and similar instruments is dependent on this average stock price and will increase as the average stock price increases.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earnings (loss) per share.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20" w:type="dxa"/>
            <w:vAlign w:val="bottom"/>
            <w:gridSpan w:val="5"/>
          </w:tcPr>
          <w:p>
            <w:pPr>
              <w:jc w:val="right"/>
              <w:ind w:right="601"/>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18"/>
                <w:szCs w:val="18"/>
                <w:color w:val="auto"/>
              </w:rPr>
            </w:pPr>
          </w:p>
        </w:tc>
        <w:tc>
          <w:tcPr>
            <w:tcW w:w="2300" w:type="dxa"/>
            <w:vAlign w:val="bottom"/>
            <w:gridSpan w:val="6"/>
          </w:tcPr>
          <w:p>
            <w:pPr>
              <w:jc w:val="right"/>
              <w:ind w:right="541"/>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41"/>
        </w:trPr>
        <w:tc>
          <w:tcPr>
            <w:tcW w:w="59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9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980" w:type="dxa"/>
            <w:vAlign w:val="bottom"/>
          </w:tcPr>
          <w:p>
            <w:pPr>
              <w:spacing w:after="0" w:line="201" w:lineRule="exact"/>
              <w:rPr>
                <w:sz w:val="20"/>
                <w:szCs w:val="20"/>
                <w:color w:val="auto"/>
              </w:rPr>
            </w:pPr>
            <w:r>
              <w:rPr>
                <w:rFonts w:ascii="Arial" w:cs="Arial" w:eastAsia="Arial" w:hAnsi="Arial"/>
                <w:sz w:val="18"/>
                <w:szCs w:val="18"/>
                <w:color w:val="auto"/>
              </w:rPr>
              <w:t>Numerator</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8"/>
        </w:trPr>
        <w:tc>
          <w:tcPr>
            <w:tcW w:w="5980" w:type="dxa"/>
            <w:vAlign w:val="bottom"/>
          </w:tcPr>
          <w:p>
            <w:pPr>
              <w:spacing w:after="0"/>
              <w:rPr>
                <w:sz w:val="20"/>
                <w:szCs w:val="20"/>
                <w:color w:val="auto"/>
              </w:rPr>
            </w:pPr>
            <w:r>
              <w:rPr>
                <w:rFonts w:ascii="Arial" w:cs="Arial" w:eastAsia="Arial" w:hAnsi="Arial"/>
                <w:sz w:val="18"/>
                <w:szCs w:val="18"/>
                <w:color w:val="auto"/>
              </w:rPr>
              <w:t>Net income (loss)</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352,100</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81"/>
              <w:spacing w:after="0" w:line="271" w:lineRule="exact"/>
              <w:rPr>
                <w:sz w:val="20"/>
                <w:szCs w:val="20"/>
                <w:color w:val="auto"/>
              </w:rPr>
            </w:pPr>
            <w:r>
              <w:rPr>
                <w:rFonts w:ascii="Arial" w:cs="Arial" w:eastAsia="Arial" w:hAnsi="Arial"/>
                <w:sz w:val="17"/>
                <w:szCs w:val="17"/>
                <w:color w:val="auto"/>
              </w:rPr>
              <w:t>(1,077,468</w:t>
            </w:r>
            <w:r>
              <w:rPr>
                <w:rFonts w:ascii="Arial" w:cs="Arial" w:eastAsia="Arial" w:hAnsi="Arial"/>
                <w:sz w:val="31"/>
                <w:szCs w:val="31"/>
                <w:color w:val="auto"/>
                <w:vertAlign w:val="superscript"/>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81"/>
              <w:spacing w:after="0" w:line="271" w:lineRule="exact"/>
              <w:rPr>
                <w:sz w:val="20"/>
                <w:szCs w:val="20"/>
                <w:color w:val="auto"/>
              </w:rPr>
            </w:pPr>
            <w:r>
              <w:rPr>
                <w:rFonts w:ascii="Arial" w:cs="Arial" w:eastAsia="Arial" w:hAnsi="Arial"/>
                <w:sz w:val="17"/>
                <w:szCs w:val="17"/>
                <w:color w:val="auto"/>
              </w:rPr>
              <w:t>(285,277</w:t>
            </w:r>
            <w:r>
              <w:rPr>
                <w:rFonts w:ascii="Arial" w:cs="Arial" w:eastAsia="Arial" w:hAnsi="Arial"/>
                <w:sz w:val="31"/>
                <w:szCs w:val="31"/>
                <w:color w:val="auto"/>
                <w:vertAlign w:val="superscript"/>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gridSpan w:val="3"/>
          </w:tcPr>
          <w:p>
            <w:pPr>
              <w:jc w:val="right"/>
              <w:spacing w:after="0" w:line="271" w:lineRule="exact"/>
              <w:rPr>
                <w:sz w:val="20"/>
                <w:szCs w:val="20"/>
                <w:color w:val="auto"/>
              </w:rPr>
            </w:pPr>
            <w:r>
              <w:rPr>
                <w:rFonts w:ascii="Arial" w:cs="Arial" w:eastAsia="Arial" w:hAnsi="Arial"/>
                <w:sz w:val="17"/>
                <w:szCs w:val="17"/>
                <w:color w:val="auto"/>
              </w:rPr>
              <w:t>(3,281,399</w:t>
            </w:r>
            <w:r>
              <w:rPr>
                <w:rFonts w:ascii="Arial" w:cs="Arial" w:eastAsia="Arial" w:hAnsi="Arial"/>
                <w:sz w:val="31"/>
                <w:szCs w:val="31"/>
                <w:color w:val="auto"/>
                <w:vertAlign w:val="superscript"/>
              </w:rPr>
              <w:t>)</w:t>
            </w: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Arial" w:cs="Arial" w:eastAsia="Arial" w:hAnsi="Arial"/>
                <w:sz w:val="18"/>
                <w:szCs w:val="18"/>
                <w:color w:val="auto"/>
              </w:rPr>
              <w:t>Denominator</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8"/>
        </w:trPr>
        <w:tc>
          <w:tcPr>
            <w:tcW w:w="59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w w:val="97"/>
              </w:rPr>
              <w:t>Weighted average shares outstanding used in computing earnings per share</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8"/>
        </w:trPr>
        <w:tc>
          <w:tcPr>
            <w:tcW w:w="5980" w:type="dxa"/>
            <w:vAlign w:val="bottom"/>
          </w:tcPr>
          <w:p>
            <w:pPr>
              <w:ind w:left="180"/>
              <w:spacing w:after="0"/>
              <w:rPr>
                <w:sz w:val="20"/>
                <w:szCs w:val="20"/>
                <w:color w:val="auto"/>
              </w:rPr>
            </w:pPr>
            <w:r>
              <w:rPr>
                <w:rFonts w:ascii="Arial" w:cs="Arial" w:eastAsia="Arial" w:hAnsi="Arial"/>
                <w:sz w:val="18"/>
                <w:szCs w:val="18"/>
                <w:color w:val="auto"/>
              </w:rPr>
              <w:t>Basic</w:t>
            </w:r>
          </w:p>
        </w:tc>
        <w:tc>
          <w:tcPr>
            <w:tcW w:w="200" w:type="dxa"/>
            <w:vAlign w:val="bottom"/>
          </w:tcPr>
          <w:p>
            <w:pPr>
              <w:spacing w:after="0"/>
              <w:rPr>
                <w:sz w:val="24"/>
                <w:szCs w:val="24"/>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17,347,096</w:t>
            </w:r>
          </w:p>
        </w:tc>
        <w:tc>
          <w:tcPr>
            <w:tcW w:w="260" w:type="dxa"/>
            <w:vAlign w:val="bottom"/>
          </w:tcPr>
          <w:p>
            <w:pPr>
              <w:spacing w:after="0"/>
              <w:rPr>
                <w:sz w:val="24"/>
                <w:szCs w:val="24"/>
                <w:color w:val="auto"/>
              </w:rPr>
            </w:pPr>
          </w:p>
        </w:tc>
        <w:tc>
          <w:tcPr>
            <w:tcW w:w="1080" w:type="dxa"/>
            <w:vAlign w:val="bottom"/>
            <w:gridSpan w:val="2"/>
          </w:tcPr>
          <w:p>
            <w:pPr>
              <w:jc w:val="right"/>
              <w:ind w:right="141"/>
              <w:spacing w:after="0"/>
              <w:rPr>
                <w:sz w:val="20"/>
                <w:szCs w:val="20"/>
                <w:color w:val="auto"/>
              </w:rPr>
            </w:pPr>
            <w:r>
              <w:rPr>
                <w:rFonts w:ascii="Arial" w:cs="Arial" w:eastAsia="Arial" w:hAnsi="Arial"/>
                <w:sz w:val="18"/>
                <w:szCs w:val="18"/>
                <w:color w:val="auto"/>
                <w:w w:val="93"/>
              </w:rPr>
              <w:t>14,667,216</w:t>
            </w:r>
          </w:p>
        </w:tc>
        <w:tc>
          <w:tcPr>
            <w:tcW w:w="200" w:type="dxa"/>
            <w:vAlign w:val="bottom"/>
          </w:tcPr>
          <w:p>
            <w:pPr>
              <w:spacing w:after="0"/>
              <w:rPr>
                <w:sz w:val="24"/>
                <w:szCs w:val="24"/>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w w:val="97"/>
              </w:rPr>
              <w:t>16,720,114</w:t>
            </w:r>
          </w:p>
        </w:tc>
        <w:tc>
          <w:tcPr>
            <w:tcW w:w="260" w:type="dxa"/>
            <w:vAlign w:val="bottom"/>
          </w:tcPr>
          <w:p>
            <w:pPr>
              <w:spacing w:after="0"/>
              <w:rPr>
                <w:sz w:val="24"/>
                <w:szCs w:val="24"/>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14,638,359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980" w:type="dxa"/>
            <w:vAlign w:val="bottom"/>
            <w:vMerge w:val="restart"/>
          </w:tcPr>
          <w:p>
            <w:pPr>
              <w:ind w:left="180"/>
              <w:spacing w:after="0"/>
              <w:rPr>
                <w:sz w:val="20"/>
                <w:szCs w:val="20"/>
                <w:color w:val="auto"/>
              </w:rPr>
            </w:pPr>
            <w:r>
              <w:rPr>
                <w:rFonts w:ascii="Arial" w:cs="Arial" w:eastAsia="Arial" w:hAnsi="Arial"/>
                <w:sz w:val="18"/>
                <w:szCs w:val="18"/>
                <w:color w:val="auto"/>
                <w:w w:val="92"/>
              </w:rPr>
              <w:t>Effect of dilutive stock options, warrants, and unvested restricted stock awards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980" w:type="dxa"/>
            <w:vAlign w:val="bottom"/>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757,711</w:t>
            </w:r>
          </w:p>
        </w:tc>
        <w:tc>
          <w:tcPr>
            <w:tcW w:w="2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980" w:type="dxa"/>
            <w:vAlign w:val="bottom"/>
          </w:tcPr>
          <w:p>
            <w:pPr>
              <w:ind w:left="180"/>
              <w:spacing w:after="0" w:line="203" w:lineRule="exact"/>
              <w:rPr>
                <w:sz w:val="20"/>
                <w:szCs w:val="20"/>
                <w:color w:val="auto"/>
              </w:rPr>
            </w:pPr>
            <w:r>
              <w:rPr>
                <w:rFonts w:ascii="Arial" w:cs="Arial" w:eastAsia="Arial" w:hAnsi="Arial"/>
                <w:sz w:val="18"/>
                <w:szCs w:val="18"/>
                <w:color w:val="auto"/>
              </w:rPr>
              <w:t>Diluted</w:t>
            </w:r>
          </w:p>
        </w:tc>
        <w:tc>
          <w:tcPr>
            <w:tcW w:w="200" w:type="dxa"/>
            <w:vAlign w:val="bottom"/>
          </w:tcPr>
          <w:p>
            <w:pPr>
              <w:spacing w:after="0"/>
              <w:rPr>
                <w:sz w:val="21"/>
                <w:szCs w:val="21"/>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18,104,807</w:t>
            </w:r>
          </w:p>
        </w:tc>
        <w:tc>
          <w:tcPr>
            <w:tcW w:w="260" w:type="dxa"/>
            <w:vAlign w:val="bottom"/>
          </w:tcPr>
          <w:p>
            <w:pPr>
              <w:spacing w:after="0"/>
              <w:rPr>
                <w:sz w:val="21"/>
                <w:szCs w:val="21"/>
                <w:color w:val="auto"/>
              </w:rPr>
            </w:pPr>
          </w:p>
        </w:tc>
        <w:tc>
          <w:tcPr>
            <w:tcW w:w="1080" w:type="dxa"/>
            <w:vAlign w:val="bottom"/>
            <w:gridSpan w:val="2"/>
          </w:tcPr>
          <w:p>
            <w:pPr>
              <w:jc w:val="right"/>
              <w:ind w:right="141"/>
              <w:spacing w:after="0"/>
              <w:rPr>
                <w:sz w:val="20"/>
                <w:szCs w:val="20"/>
                <w:color w:val="auto"/>
              </w:rPr>
            </w:pPr>
            <w:r>
              <w:rPr>
                <w:rFonts w:ascii="Arial" w:cs="Arial" w:eastAsia="Arial" w:hAnsi="Arial"/>
                <w:sz w:val="18"/>
                <w:szCs w:val="18"/>
                <w:color w:val="auto"/>
                <w:w w:val="93"/>
              </w:rPr>
              <w:t>14,667,216</w:t>
            </w:r>
          </w:p>
        </w:tc>
        <w:tc>
          <w:tcPr>
            <w:tcW w:w="200" w:type="dxa"/>
            <w:vAlign w:val="bottom"/>
          </w:tcPr>
          <w:p>
            <w:pPr>
              <w:spacing w:after="0"/>
              <w:rPr>
                <w:sz w:val="21"/>
                <w:szCs w:val="21"/>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w w:val="97"/>
              </w:rPr>
              <w:t>16,720,114</w:t>
            </w:r>
          </w:p>
        </w:tc>
        <w:tc>
          <w:tcPr>
            <w:tcW w:w="260" w:type="dxa"/>
            <w:vAlign w:val="bottom"/>
          </w:tcPr>
          <w:p>
            <w:pPr>
              <w:spacing w:after="0"/>
              <w:rPr>
                <w:sz w:val="21"/>
                <w:szCs w:val="21"/>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14,638,359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5980" w:type="dxa"/>
            <w:vAlign w:val="bottom"/>
            <w:vMerge w:val="restart"/>
          </w:tcPr>
          <w:p>
            <w:pPr>
              <w:spacing w:after="0"/>
              <w:rPr>
                <w:sz w:val="20"/>
                <w:szCs w:val="20"/>
                <w:color w:val="auto"/>
              </w:rPr>
            </w:pPr>
            <w:r>
              <w:rPr>
                <w:rFonts w:ascii="Arial" w:cs="Arial" w:eastAsia="Arial" w:hAnsi="Arial"/>
                <w:sz w:val="18"/>
                <w:szCs w:val="18"/>
                <w:color w:val="auto"/>
              </w:rPr>
              <w:t>Earnings (loss) per share</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8"/>
        </w:trPr>
        <w:tc>
          <w:tcPr>
            <w:tcW w:w="59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5980" w:type="dxa"/>
            <w:vAlign w:val="bottom"/>
          </w:tcPr>
          <w:p>
            <w:pPr>
              <w:ind w:left="180"/>
              <w:spacing w:after="0"/>
              <w:rPr>
                <w:sz w:val="20"/>
                <w:szCs w:val="20"/>
                <w:color w:val="auto"/>
              </w:rPr>
            </w:pPr>
            <w:r>
              <w:rPr>
                <w:rFonts w:ascii="Arial" w:cs="Arial" w:eastAsia="Arial" w:hAnsi="Arial"/>
                <w:sz w:val="18"/>
                <w:szCs w:val="18"/>
                <w:color w:val="auto"/>
              </w:rPr>
              <w:t>Basic</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0.02</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81"/>
              <w:spacing w:after="0" w:line="271" w:lineRule="exact"/>
              <w:rPr>
                <w:sz w:val="20"/>
                <w:szCs w:val="20"/>
                <w:color w:val="auto"/>
              </w:rPr>
            </w:pPr>
            <w:r>
              <w:rPr>
                <w:rFonts w:ascii="Arial" w:cs="Arial" w:eastAsia="Arial" w:hAnsi="Arial"/>
                <w:sz w:val="17"/>
                <w:szCs w:val="17"/>
                <w:color w:val="auto"/>
              </w:rPr>
              <w:t>(0.07</w:t>
            </w:r>
            <w:r>
              <w:rPr>
                <w:rFonts w:ascii="Arial" w:cs="Arial" w:eastAsia="Arial" w:hAnsi="Arial"/>
                <w:sz w:val="31"/>
                <w:szCs w:val="31"/>
                <w:color w:val="auto"/>
                <w:vertAlign w:val="superscript"/>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81"/>
              <w:spacing w:after="0" w:line="271" w:lineRule="exact"/>
              <w:rPr>
                <w:sz w:val="20"/>
                <w:szCs w:val="20"/>
                <w:color w:val="auto"/>
              </w:rPr>
            </w:pPr>
            <w:r>
              <w:rPr>
                <w:rFonts w:ascii="Arial" w:cs="Arial" w:eastAsia="Arial" w:hAnsi="Arial"/>
                <w:sz w:val="17"/>
                <w:szCs w:val="17"/>
                <w:color w:val="auto"/>
              </w:rPr>
              <w:t>(0.02</w:t>
            </w:r>
            <w:r>
              <w:rPr>
                <w:rFonts w:ascii="Arial" w:cs="Arial" w:eastAsia="Arial" w:hAnsi="Arial"/>
                <w:sz w:val="31"/>
                <w:szCs w:val="31"/>
                <w:color w:val="auto"/>
                <w:vertAlign w:val="superscript"/>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gridSpan w:val="3"/>
          </w:tcPr>
          <w:p>
            <w:pPr>
              <w:jc w:val="right"/>
              <w:spacing w:after="0" w:line="271" w:lineRule="exact"/>
              <w:rPr>
                <w:sz w:val="20"/>
                <w:szCs w:val="20"/>
                <w:color w:val="auto"/>
              </w:rPr>
            </w:pPr>
            <w:r>
              <w:rPr>
                <w:rFonts w:ascii="Arial" w:cs="Arial" w:eastAsia="Arial" w:hAnsi="Arial"/>
                <w:sz w:val="17"/>
                <w:szCs w:val="17"/>
                <w:color w:val="auto"/>
              </w:rPr>
              <w:t>(0.22</w:t>
            </w:r>
            <w:r>
              <w:rPr>
                <w:rFonts w:ascii="Arial" w:cs="Arial" w:eastAsia="Arial" w:hAnsi="Arial"/>
                <w:sz w:val="31"/>
                <w:szCs w:val="31"/>
                <w:color w:val="auto"/>
                <w:vertAlign w:val="superscript"/>
              </w:rPr>
              <w:t>)</w:t>
            </w:r>
          </w:p>
        </w:tc>
        <w:tc>
          <w:tcPr>
            <w:tcW w:w="0" w:type="dxa"/>
            <w:vAlign w:val="bottom"/>
          </w:tcPr>
          <w:p>
            <w:pPr>
              <w:spacing w:after="0"/>
              <w:rPr>
                <w:sz w:val="1"/>
                <w:szCs w:val="1"/>
                <w:color w:val="auto"/>
              </w:rPr>
            </w:pPr>
          </w:p>
        </w:tc>
      </w:tr>
      <w:tr>
        <w:trPr>
          <w:trHeight w:val="20"/>
        </w:trPr>
        <w:tc>
          <w:tcPr>
            <w:tcW w:w="5980" w:type="dxa"/>
            <w:vAlign w:val="bottom"/>
            <w:vMerge w:val="restart"/>
          </w:tcPr>
          <w:p>
            <w:pPr>
              <w:ind w:left="180"/>
              <w:spacing w:after="0"/>
              <w:rPr>
                <w:sz w:val="20"/>
                <w:szCs w:val="20"/>
                <w:color w:val="auto"/>
              </w:rPr>
            </w:pPr>
            <w:r>
              <w:rPr>
                <w:rFonts w:ascii="Arial" w:cs="Arial" w:eastAsia="Arial" w:hAnsi="Arial"/>
                <w:sz w:val="18"/>
                <w:szCs w:val="18"/>
                <w:color w:val="auto"/>
              </w:rPr>
              <w:t>Diluted</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vMerge w:val="restart"/>
          </w:tcPr>
          <w:p>
            <w:pPr>
              <w:jc w:val="right"/>
              <w:ind w:right="8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vMerge w:val="restart"/>
          </w:tcPr>
          <w:p>
            <w:pPr>
              <w:jc w:val="right"/>
              <w:ind w:right="81"/>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vMerge w:val="restart"/>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23"/>
        </w:trPr>
        <w:tc>
          <w:tcPr>
            <w:tcW w:w="5980" w:type="dxa"/>
            <w:vAlign w:val="bottom"/>
            <w:vMerge w:val="continue"/>
          </w:tcPr>
          <w:p>
            <w:pPr>
              <w:spacing w:after="0"/>
              <w:rPr>
                <w:sz w:val="19"/>
                <w:szCs w:val="19"/>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260" w:type="dxa"/>
            <w:vAlign w:val="bottom"/>
          </w:tcPr>
          <w:p>
            <w:pPr>
              <w:spacing w:after="0"/>
              <w:rPr>
                <w:sz w:val="19"/>
                <w:szCs w:val="19"/>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(0.07</w:t>
            </w:r>
          </w:p>
        </w:tc>
        <w:tc>
          <w:tcPr>
            <w:tcW w:w="220" w:type="dxa"/>
            <w:vAlign w:val="bottom"/>
            <w:vMerge w:val="continue"/>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220" w:type="dxa"/>
            <w:vAlign w:val="bottom"/>
            <w:vMerge w:val="continue"/>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(0.22</w:t>
            </w:r>
          </w:p>
        </w:tc>
        <w:tc>
          <w:tcPr>
            <w:tcW w:w="20" w:type="dxa"/>
            <w:vAlign w:val="bottom"/>
            <w:tcBorders>
              <w:bottom w:val="single" w:sz="8" w:color="auto"/>
            </w:tcBorders>
          </w:tcPr>
          <w:p>
            <w:pPr>
              <w:spacing w:after="0"/>
              <w:rPr>
                <w:sz w:val="19"/>
                <w:szCs w:val="19"/>
                <w:color w:val="auto"/>
              </w:rPr>
            </w:pPr>
          </w:p>
        </w:tc>
        <w:tc>
          <w:tcPr>
            <w:tcW w:w="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No calculation of diluted earnings per share is included for either 2020 period or for the six months ended June 30, 2021, as the effect of the calculation would be antidilutive.</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77" w:right="37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7 – EARNINGS (LOSS) PER SHARE (CONTINUED)</w:t>
      </w:r>
    </w:p>
    <w:p>
      <w:pPr>
        <w:spacing w:after="0" w:line="22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number of common shares potentially issuable upon the exercise of certain options or for unvested restricted stock awards are reflected in the table below.</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720" w:type="dxa"/>
            <w:vAlign w:val="bottom"/>
            <w:gridSpan w:val="5"/>
          </w:tcPr>
          <w:p>
            <w:pPr>
              <w:jc w:val="center"/>
              <w:ind w:right="260"/>
              <w:spacing w:after="0"/>
              <w:rPr>
                <w:sz w:val="20"/>
                <w:szCs w:val="20"/>
                <w:color w:val="auto"/>
              </w:rPr>
            </w:pPr>
            <w:r>
              <w:rPr>
                <w:rFonts w:ascii="Arial" w:cs="Arial" w:eastAsia="Arial" w:hAnsi="Arial"/>
                <w:sz w:val="18"/>
                <w:szCs w:val="18"/>
                <w:b w:val="1"/>
                <w:bCs w:val="1"/>
                <w:color w:val="auto"/>
                <w:w w:val="90"/>
              </w:rPr>
              <w:t>Three Months Ended</w:t>
            </w:r>
          </w:p>
        </w:tc>
        <w:tc>
          <w:tcPr>
            <w:tcW w:w="244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Six Months Ended</w:t>
            </w:r>
          </w:p>
        </w:tc>
        <w:tc>
          <w:tcPr>
            <w:tcW w:w="0" w:type="dxa"/>
            <w:vAlign w:val="bottom"/>
          </w:tcPr>
          <w:p>
            <w:pPr>
              <w:spacing w:after="0"/>
              <w:rPr>
                <w:sz w:val="1"/>
                <w:szCs w:val="1"/>
                <w:color w:val="auto"/>
              </w:rPr>
            </w:pPr>
          </w:p>
        </w:tc>
      </w:tr>
      <w:tr>
        <w:trPr>
          <w:trHeight w:val="241"/>
        </w:trPr>
        <w:tc>
          <w:tcPr>
            <w:tcW w:w="5980" w:type="dxa"/>
            <w:vAlign w:val="bottom"/>
          </w:tcPr>
          <w:p>
            <w:pPr>
              <w:spacing w:after="0"/>
              <w:rPr>
                <w:sz w:val="20"/>
                <w:szCs w:val="20"/>
                <w:color w:val="auto"/>
              </w:rPr>
            </w:pPr>
          </w:p>
        </w:tc>
        <w:tc>
          <w:tcPr>
            <w:tcW w:w="1660" w:type="dxa"/>
            <w:vAlign w:val="bottom"/>
            <w:tcBorders>
              <w:bottom w:val="single" w:sz="8" w:color="auto"/>
            </w:tcBorders>
            <w:gridSpan w:val="3"/>
          </w:tcPr>
          <w:p>
            <w:pPr>
              <w:jc w:val="center"/>
              <w:ind w:left="770"/>
              <w:spacing w:after="0"/>
              <w:rPr>
                <w:sz w:val="20"/>
                <w:szCs w:val="20"/>
                <w:color w:val="auto"/>
              </w:rPr>
            </w:pPr>
            <w:r>
              <w:rPr>
                <w:rFonts w:ascii="Arial" w:cs="Arial" w:eastAsia="Arial" w:hAnsi="Arial"/>
                <w:sz w:val="18"/>
                <w:szCs w:val="18"/>
                <w:b w:val="1"/>
                <w:bCs w:val="1"/>
                <w:color w:val="auto"/>
                <w:w w:val="88"/>
              </w:rPr>
              <w:t>June 30,</w:t>
            </w:r>
          </w:p>
        </w:tc>
        <w:tc>
          <w:tcPr>
            <w:tcW w:w="8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tcBorders>
              <w:bottom w:val="single" w:sz="8" w:color="auto"/>
            </w:tcBorders>
            <w:gridSpan w:val="3"/>
          </w:tcPr>
          <w:p>
            <w:pPr>
              <w:jc w:val="center"/>
              <w:ind w:left="730"/>
              <w:spacing w:after="0"/>
              <w:rPr>
                <w:sz w:val="20"/>
                <w:szCs w:val="20"/>
                <w:color w:val="auto"/>
              </w:rPr>
            </w:pPr>
            <w:r>
              <w:rPr>
                <w:rFonts w:ascii="Arial" w:cs="Arial" w:eastAsia="Arial" w:hAnsi="Arial"/>
                <w:sz w:val="18"/>
                <w:szCs w:val="18"/>
                <w:b w:val="1"/>
                <w:bCs w:val="1"/>
                <w:color w:val="auto"/>
                <w:w w:val="88"/>
              </w:rPr>
              <w:t>June 30,</w:t>
            </w:r>
          </w:p>
        </w:tc>
        <w:tc>
          <w:tcPr>
            <w:tcW w:w="8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418"/>
        </w:trPr>
        <w:tc>
          <w:tcPr>
            <w:tcW w:w="5980" w:type="dxa"/>
            <w:vAlign w:val="bottom"/>
          </w:tcPr>
          <w:p>
            <w:pPr>
              <w:spacing w:after="0"/>
              <w:rPr>
                <w:sz w:val="20"/>
                <w:szCs w:val="20"/>
                <w:color w:val="auto"/>
              </w:rPr>
            </w:pPr>
            <w:r>
              <w:rPr>
                <w:rFonts w:ascii="Arial" w:cs="Arial" w:eastAsia="Arial" w:hAnsi="Arial"/>
                <w:sz w:val="18"/>
                <w:szCs w:val="18"/>
                <w:color w:val="auto"/>
              </w:rPr>
              <w:t>Weighted average number of shares excluded from calculation</w:t>
            </w: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Unvested restricted stock awards</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98,011</w:t>
            </w: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79,264</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94,942</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48,027</w:t>
            </w:r>
          </w:p>
        </w:tc>
        <w:tc>
          <w:tcPr>
            <w:tcW w:w="0" w:type="dxa"/>
            <w:vAlign w:val="bottom"/>
          </w:tcPr>
          <w:p>
            <w:pPr>
              <w:spacing w:after="0"/>
              <w:rPr>
                <w:sz w:val="1"/>
                <w:szCs w:val="1"/>
                <w:color w:val="auto"/>
              </w:rPr>
            </w:pPr>
          </w:p>
        </w:tc>
      </w:tr>
      <w:tr>
        <w:trPr>
          <w:trHeight w:val="244"/>
        </w:trPr>
        <w:tc>
          <w:tcPr>
            <w:tcW w:w="5980" w:type="dxa"/>
            <w:vAlign w:val="bottom"/>
          </w:tcPr>
          <w:p>
            <w:pPr>
              <w:ind w:left="180"/>
              <w:spacing w:after="0"/>
              <w:rPr>
                <w:sz w:val="20"/>
                <w:szCs w:val="20"/>
                <w:color w:val="auto"/>
              </w:rPr>
            </w:pPr>
            <w:r>
              <w:rPr>
                <w:rFonts w:ascii="Arial" w:cs="Arial" w:eastAsia="Arial" w:hAnsi="Arial"/>
                <w:sz w:val="18"/>
                <w:szCs w:val="18"/>
                <w:color w:val="auto"/>
              </w:rPr>
              <w:t>Options</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659,700</w:t>
            </w:r>
          </w:p>
        </w:tc>
        <w:tc>
          <w:tcPr>
            <w:tcW w:w="2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826,777</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652,103</w:t>
            </w:r>
          </w:p>
        </w:tc>
        <w:tc>
          <w:tcPr>
            <w:tcW w:w="3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782,575</w:t>
            </w:r>
          </w:p>
        </w:tc>
        <w:tc>
          <w:tcPr>
            <w:tcW w:w="0" w:type="dxa"/>
            <w:vAlign w:val="bottom"/>
          </w:tcPr>
          <w:p>
            <w:pPr>
              <w:spacing w:after="0"/>
              <w:rPr>
                <w:sz w:val="1"/>
                <w:szCs w:val="1"/>
                <w:color w:val="auto"/>
              </w:rPr>
            </w:pPr>
          </w:p>
        </w:tc>
      </w:tr>
      <w:tr>
        <w:trPr>
          <w:trHeight w:val="27"/>
        </w:trPr>
        <w:tc>
          <w:tcPr>
            <w:tcW w:w="5980" w:type="dxa"/>
            <w:vAlign w:val="bottom"/>
            <w:vMerge w:val="restart"/>
          </w:tcPr>
          <w:p>
            <w:pPr>
              <w:ind w:left="180"/>
              <w:spacing w:after="0"/>
              <w:rPr>
                <w:sz w:val="20"/>
                <w:szCs w:val="20"/>
                <w:color w:val="auto"/>
              </w:rPr>
            </w:pPr>
            <w:r>
              <w:rPr>
                <w:rFonts w:ascii="Arial" w:cs="Arial" w:eastAsia="Arial" w:hAnsi="Arial"/>
                <w:sz w:val="18"/>
                <w:szCs w:val="18"/>
                <w:color w:val="auto"/>
              </w:rPr>
              <w:t>Total</w:t>
            </w:r>
          </w:p>
        </w:tc>
        <w:tc>
          <w:tcPr>
            <w:tcW w:w="1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vMerge w:val="continue"/>
          </w:tcPr>
          <w:p>
            <w:pPr>
              <w:spacing w:after="0"/>
              <w:rPr>
                <w:sz w:val="21"/>
                <w:szCs w:val="21"/>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757,711</w:t>
            </w:r>
          </w:p>
        </w:tc>
        <w:tc>
          <w:tcPr>
            <w:tcW w:w="2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906,041</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747,045</w:t>
            </w:r>
          </w:p>
        </w:tc>
        <w:tc>
          <w:tcPr>
            <w:tcW w:w="3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830,602</w:t>
            </w:r>
          </w:p>
        </w:tc>
        <w:tc>
          <w:tcPr>
            <w:tcW w:w="0" w:type="dxa"/>
            <w:vAlign w:val="bottom"/>
          </w:tcPr>
          <w:p>
            <w:pPr>
              <w:spacing w:after="0"/>
              <w:rPr>
                <w:sz w:val="1"/>
                <w:szCs w:val="1"/>
                <w:color w:val="auto"/>
              </w:rPr>
            </w:pPr>
          </w:p>
        </w:tc>
      </w:tr>
      <w:tr>
        <w:trPr>
          <w:trHeight w:val="21"/>
        </w:trPr>
        <w:tc>
          <w:tcPr>
            <w:tcW w:w="59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NOTE 8 –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not currently involved in any legal proceedings.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NOTE 9 – SUBSEQUENT EVENTS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In July 2021, we received proceeds of $300,548 and issued 123,178 shares of common stock in conjunction with the exercise of stock options.</w:t>
      </w:r>
    </w:p>
    <w:p>
      <w:pPr>
        <w:spacing w:after="0" w:line="237"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In accordance with ASC 855-10, we have analyzed events and transactions that occurred subsequent to June 30, 2021 through the date these financial statements were issued and have determined that we do not have any other material subsequent events to disclose or recognize in these financial statements.</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Certain statements, other than purely historical information, including estimates, projections, statements relating to our business plans, objectives, and expected operating results, and the assumptions upon which those statements are based, are “forward-looking statements” within the meaning of the Private Securities Litigation Reform Act of 1995, Section 27A of the Securities Act of 1933 and Section 21E of the Securities Exchange Act of 1934. These forward-looking statements generally are identified by the words “believes,” “project,” “expects,” “anticipates,” “estimates,” “intends,” “strategy,” “plan,” “may,” “will,” “would,” “will be,” “will continue,” “will likely result,” and similar expressions. We intend such forward-looking statements to be covered by the safe-harbor provisions for forward-looking statements contained in the Private Securities Litigation Reform Act of 1995, and are including this statement for purposes of complying with those safe-harbor provisions. Forward-looking statements are based on current expectations and assumptions that are subject to risks and uncertainties which may cause actual results to differ materially from the forward-looking statements. Our ability to predict results or the actual effect of future plans or strategies is inherently uncertain. Factors which could have a material adverse effect on our operations and future prospects on a consolidated basis include, but are not limited to: changes in economic conditions, legislative/regulatory changes, availability of capital, interest rates, competition, and generally accepted accounting principles. These risks and uncertainties should also be considered in evaluating forward-looking statements and undue reliance should not be placed on such statements. We undertake no obligation to update or revise publicly any forward-looking statements, whether as a result of new information, future events or otherwise. Further information concerning our business, including additional factors that could materially affect our financial results, is included herein and in our other filings with the SEC.</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w:t>
      </w:r>
    </w:p>
    <w:p>
      <w:pPr>
        <w:spacing w:after="0" w:line="22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full extent of the impact of the COVID-19 pandemic on our business, operations and financial results will depend on numerous evolving factors that we may not be able to accurately predict at the present time. In an effort to contain COVID-19 or slow its spread, governments around the world have enacted various measures, including orders to close all businesses not deemed “essential,” isolate residents to their homes or places of residence, and practice social distancing when engaging in essential activities. We anticipate that these actions and the global health crisis caused by COVID-19 will negatively impact business activity across the globe. While we have not observed any noticeable impact on our revenue related to these conditions in the recently completed fiscal year or quarter, or through the date of this filing, we cannot estimate the impact COVID-19 will have in the future if business and consumer activity decelerates across the globe.</w:t>
      </w:r>
    </w:p>
    <w:p>
      <w:pPr>
        <w:spacing w:after="0" w:line="195"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In March 2020, we enacted precautionary measures to protect the health and safety of our employees and partners. These measures include closing all offices, having employees work from home, and eliminating virtually all travel. While having employees work from home may have a negative impact on efficiency and may result in negligible increases in costs, it does not impact our ability to execute on our contracts or deliver our core services. We opened our offices on a voluntary basis in June 2021 and we relaxed certain travel restrictions at the same time. Our customers provide essential services in the healthcare industry and we believe that our digital communication technology is more important than ever in this environment. However, our revenue often comes from advertising or marketing budgets, and in a sustained economic downturn, those categories of spending may be cut.</w:t>
      </w:r>
    </w:p>
    <w:p>
      <w:pPr>
        <w:spacing w:after="0" w:line="16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will continue to actively monitor the situation and may take further actions that alter our business operations as may be required by federal, state, local or foreign authorities, or that we determine are in the best interests of our employees, customers, partners and stockholders. It is not clear what the potential effects any such alterations or modifications may have on our business, including the effects on our customers, partners, or vendors, or on our financial results.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Company Highlights through July 2021</w:t>
      </w:r>
    </w:p>
    <w:p>
      <w:pPr>
        <w:spacing w:after="0" w:line="225" w:lineRule="exact"/>
        <w:rPr>
          <w:sz w:val="20"/>
          <w:szCs w:val="20"/>
          <w:color w:val="auto"/>
        </w:rPr>
      </w:pPr>
    </w:p>
    <w:p>
      <w:pPr>
        <w:ind w:left="580" w:hanging="572"/>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Generated sales of $13.6 million for the quarter ended June 30, 2021, a 55% increase over the same period in 2020.</w:t>
      </w:r>
    </w:p>
    <w:p>
      <w:pPr>
        <w:spacing w:after="0" w:line="23" w:lineRule="exact"/>
        <w:rPr>
          <w:rFonts w:ascii="Arial" w:cs="Arial" w:eastAsia="Arial" w:hAnsi="Arial"/>
          <w:sz w:val="18"/>
          <w:szCs w:val="18"/>
          <w:color w:val="auto"/>
        </w:rPr>
      </w:pPr>
    </w:p>
    <w:p>
      <w:pPr>
        <w:ind w:left="580" w:hanging="572"/>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Generated sales of $24.9 million for the six months ended June 30, 2021, a 52% increase over the same period in 2020.</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Achieved positive cash flow from operations of $1.9 million for the six months ended June 30, 2021.</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Launched our new Real World Evidence (“RWE”) messaging solution and generated revenue in Q2 from two leading brands.</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Raised an additional $70.7 million of capital in a public offering.</w:t>
      </w:r>
    </w:p>
    <w:p>
      <w:pPr>
        <w:spacing w:after="0" w:line="9" w:lineRule="exact"/>
        <w:rPr>
          <w:rFonts w:ascii="Arial" w:cs="Arial" w:eastAsia="Arial" w:hAnsi="Arial"/>
          <w:sz w:val="18"/>
          <w:szCs w:val="18"/>
          <w:color w:val="auto"/>
        </w:rPr>
      </w:pPr>
    </w:p>
    <w:p>
      <w:pPr>
        <w:ind w:left="580" w:right="400" w:hanging="572"/>
        <w:spacing w:after="0" w:line="250" w:lineRule="auto"/>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Enhanced our leadership team by adding a General Counsel and Chief Compliance Officer as well as elevated the Chief Technology Officer to report directly to the CEO.</w:t>
      </w:r>
    </w:p>
    <w:p>
      <w:pPr>
        <w:ind w:left="580" w:hanging="572"/>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Committed to an inclusion and diversity pledge.</w:t>
      </w:r>
    </w:p>
    <w:p>
      <w:pPr>
        <w:spacing w:after="0" w:line="9" w:lineRule="exact"/>
        <w:rPr>
          <w:rFonts w:ascii="Arial" w:cs="Arial" w:eastAsia="Arial" w:hAnsi="Arial"/>
          <w:sz w:val="18"/>
          <w:szCs w:val="18"/>
          <w:color w:val="auto"/>
        </w:rPr>
      </w:pPr>
    </w:p>
    <w:p>
      <w:pPr>
        <w:ind w:left="580" w:right="3780" w:hanging="572"/>
        <w:spacing w:after="0" w:line="250" w:lineRule="auto"/>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Enhanced our patient engagement commercial team to further scale that portion of the business. Consolidated our technology centers of excellence in Zagreb, Croatia.</w:t>
      </w:r>
    </w:p>
    <w:p>
      <w:pPr>
        <w:ind w:left="580" w:hanging="572"/>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Completed all integration work for previous two acquisitions and paid last earnout payment related to acquisitions.</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Maintained a no travel, virtual operational plan with a particular focus on training, open communication, and great work culture.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Three and Six Months Ended June 30, 2021 and 2020</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Our total revenue reported for the three months ended June 30, 2021 was approximately $13.6 million, an increase of 55% over the approximately $8.8 million from the same period in 2020. Our total revenue for the six months ended June 30, 2021 was approximately $24.9 million, an increase of 52% over the approximately $16.4 million from the same period in 2020. The increased revenue resulted from increases in sales in all our messaging products.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Our cost of revenue percentage, comprised primarily of revenue share expense, decreased slightly as a percentage of revenue in the quarter ended June 30, 2021, as compared to the same period in 2020, while for the six month period ended June 30, 2021, it increased as a percentage of revenue. These changes were the result of solution mix, both as it relates to solutions itself and the partners through which the solutions are delivered. Additional discussion is included in the gross margin section below.</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tcPr>
          <w:p>
            <w:pPr>
              <w:spacing w:after="0"/>
              <w:rPr>
                <w:sz w:val="18"/>
                <w:szCs w:val="18"/>
                <w:color w:val="auto"/>
              </w:rPr>
            </w:pPr>
          </w:p>
        </w:tc>
        <w:tc>
          <w:tcPr>
            <w:tcW w:w="2140" w:type="dxa"/>
            <w:vAlign w:val="bottom"/>
            <w:gridSpan w:val="4"/>
          </w:tcPr>
          <w:p>
            <w:pPr>
              <w:ind w:left="400"/>
              <w:spacing w:after="0"/>
              <w:rPr>
                <w:sz w:val="20"/>
                <w:szCs w:val="20"/>
                <w:color w:val="auto"/>
              </w:rPr>
            </w:pPr>
            <w:r>
              <w:rPr>
                <w:rFonts w:ascii="Arial" w:cs="Arial" w:eastAsia="Arial" w:hAnsi="Arial"/>
                <w:sz w:val="18"/>
                <w:szCs w:val="18"/>
                <w:b w:val="1"/>
                <w:bCs w:val="1"/>
                <w:color w:val="auto"/>
                <w:w w:val="96"/>
              </w:rPr>
              <w:t>Three Months Ended</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4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90"/>
              </w:rPr>
              <w:t>Six Months Ended</w:t>
            </w:r>
          </w:p>
        </w:tc>
      </w:tr>
      <w:tr>
        <w:trPr>
          <w:trHeight w:val="241"/>
        </w:trPr>
        <w:tc>
          <w:tcPr>
            <w:tcW w:w="584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ind w:right="510"/>
              <w:spacing w:after="0"/>
              <w:rPr>
                <w:sz w:val="20"/>
                <w:szCs w:val="20"/>
                <w:color w:val="auto"/>
              </w:rPr>
            </w:pPr>
            <w:r>
              <w:rPr>
                <w:rFonts w:ascii="Arial" w:cs="Arial" w:eastAsia="Arial" w:hAnsi="Arial"/>
                <w:sz w:val="18"/>
                <w:szCs w:val="18"/>
                <w:b w:val="1"/>
                <w:bCs w:val="1"/>
                <w:color w:val="auto"/>
              </w:rPr>
              <w:t>June 30</w:t>
            </w:r>
          </w:p>
        </w:tc>
        <w:tc>
          <w:tcPr>
            <w:tcW w:w="34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tcBorders>
              <w:bottom w:val="single" w:sz="8" w:color="auto"/>
            </w:tcBorders>
            <w:gridSpan w:val="3"/>
          </w:tcPr>
          <w:p>
            <w:pPr>
              <w:jc w:val="center"/>
              <w:ind w:left="750"/>
              <w:spacing w:after="0"/>
              <w:rPr>
                <w:sz w:val="20"/>
                <w:szCs w:val="20"/>
                <w:color w:val="auto"/>
              </w:rPr>
            </w:pPr>
            <w:r>
              <w:rPr>
                <w:rFonts w:ascii="Arial" w:cs="Arial" w:eastAsia="Arial" w:hAnsi="Arial"/>
                <w:sz w:val="18"/>
                <w:szCs w:val="18"/>
                <w:b w:val="1"/>
                <w:bCs w:val="1"/>
                <w:color w:val="auto"/>
                <w:w w:val="89"/>
              </w:rPr>
              <w:t>June 30</w:t>
            </w:r>
          </w:p>
        </w:tc>
        <w:tc>
          <w:tcPr>
            <w:tcW w:w="8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36"/>
        </w:trPr>
        <w:tc>
          <w:tcPr>
            <w:tcW w:w="5840" w:type="dxa"/>
            <w:vAlign w:val="bottom"/>
          </w:tcPr>
          <w:p>
            <w:pPr>
              <w:spacing w:after="0"/>
              <w:rPr>
                <w:sz w:val="20"/>
                <w:szCs w:val="20"/>
                <w:color w:val="auto"/>
              </w:rPr>
            </w:pPr>
          </w:p>
        </w:tc>
        <w:tc>
          <w:tcPr>
            <w:tcW w:w="76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w w:val="89"/>
              </w:rPr>
              <w:t>2021</w:t>
            </w:r>
          </w:p>
        </w:tc>
        <w:tc>
          <w:tcPr>
            <w:tcW w:w="34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34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20"/>
                <w:szCs w:val="20"/>
                <w:color w:val="auto"/>
              </w:rPr>
            </w:pPr>
          </w:p>
        </w:tc>
      </w:tr>
      <w:tr>
        <w:trPr>
          <w:trHeight w:val="418"/>
        </w:trPr>
        <w:tc>
          <w:tcPr>
            <w:tcW w:w="6600" w:type="dxa"/>
            <w:vAlign w:val="bottom"/>
            <w:gridSpan w:val="2"/>
          </w:tcPr>
          <w:p>
            <w:pPr>
              <w:spacing w:after="0"/>
              <w:rPr>
                <w:sz w:val="20"/>
                <w:szCs w:val="20"/>
                <w:color w:val="auto"/>
              </w:rPr>
            </w:pPr>
            <w:r>
              <w:rPr>
                <w:rFonts w:ascii="Arial" w:cs="Arial" w:eastAsia="Arial" w:hAnsi="Arial"/>
                <w:sz w:val="18"/>
                <w:szCs w:val="18"/>
                <w:color w:val="auto"/>
              </w:rPr>
              <w:t>Cost of Revenues %</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41.0%</w:t>
            </w:r>
          </w:p>
        </w:tc>
        <w:tc>
          <w:tcPr>
            <w:tcW w:w="760" w:type="dxa"/>
            <w:vAlign w:val="bottom"/>
          </w:tcPr>
          <w:p>
            <w:pPr>
              <w:spacing w:after="0"/>
              <w:rPr>
                <w:sz w:val="24"/>
                <w:szCs w:val="24"/>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41.4%</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43.0%</w:t>
            </w:r>
          </w:p>
        </w:tc>
        <w:tc>
          <w:tcPr>
            <w:tcW w:w="260" w:type="dxa"/>
            <w:vAlign w:val="bottom"/>
          </w:tcPr>
          <w:p>
            <w:pPr>
              <w:spacing w:after="0"/>
              <w:rPr>
                <w:sz w:val="24"/>
                <w:szCs w:val="24"/>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42.0%</w:t>
            </w:r>
          </w:p>
        </w:tc>
      </w:tr>
      <w:tr>
        <w:trPr>
          <w:trHeight w:val="230"/>
        </w:trPr>
        <w:tc>
          <w:tcPr>
            <w:tcW w:w="6600" w:type="dxa"/>
            <w:vAlign w:val="bottom"/>
            <w:gridSpan w:val="2"/>
          </w:tcPr>
          <w:p>
            <w:pPr>
              <w:spacing w:after="0"/>
              <w:rPr>
                <w:sz w:val="20"/>
                <w:szCs w:val="20"/>
                <w:color w:val="auto"/>
              </w:rPr>
            </w:pPr>
            <w:r>
              <w:rPr>
                <w:rFonts w:ascii="Arial" w:cs="Arial" w:eastAsia="Arial" w:hAnsi="Arial"/>
                <w:sz w:val="18"/>
                <w:szCs w:val="18"/>
                <w:color w:val="auto"/>
              </w:rPr>
              <w:t>Gross Margin %</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59.0%</w:t>
            </w:r>
          </w:p>
        </w:tc>
        <w:tc>
          <w:tcPr>
            <w:tcW w:w="760" w:type="dxa"/>
            <w:vAlign w:val="bottom"/>
          </w:tcPr>
          <w:p>
            <w:pPr>
              <w:spacing w:after="0"/>
              <w:rPr>
                <w:sz w:val="20"/>
                <w:szCs w:val="20"/>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58.6%</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57.0%</w:t>
            </w:r>
          </w:p>
        </w:tc>
        <w:tc>
          <w:tcPr>
            <w:tcW w:w="26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58.0%</w:t>
            </w:r>
          </w:p>
        </w:tc>
      </w:tr>
      <w:tr>
        <w:trPr>
          <w:trHeight w:val="655"/>
        </w:trPr>
        <w:tc>
          <w:tcPr>
            <w:tcW w:w="5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w:t>
            </w:r>
          </w:p>
        </w:tc>
        <w:tc>
          <w:tcPr>
            <w:tcW w:w="7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81"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Gross Margin</w:t>
      </w:r>
    </w:p>
    <w:p>
      <w:pPr>
        <w:spacing w:after="0" w:line="225"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As reflected in the table above, our gross margin increased slightly in the quarter ended June 30, 2021 compared with the prior year, but decreased slightly for the six month period then ended. This is the result of solution mix. In general, there has been an increase in the percentage of activity flowing through our higher cost channels compared with a year ago. In the second quarter, this was offset by the launch of our RWE solution. Our RWE solution includes a much higher percentage of program design, which carries a higher margin than the delivery of the actual messages. We expect our gross margin to improve on a quarter over quarter basis for the balance of the year as our RWE solution expands and we continue to launch new solutions that have higher margins.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Operating expenses increased from approximately $6.2 million for the three months ended June 30, 2020 to approximately $7.7 million for the same period in 2021. Operating expenses increased from approximately $12.8 million for the six months ended June 30, 2020 to approximately $14.5 million for the same period in 2021. Overall, this increase results from our efforts to expand our product line and build out our organization to establish a strong base for current and future growth. Our expenses increased at a substantially lower rate than our revenues as a result of the operating leverage of our model. The detail of expenditures by major category is reflected in the table below.</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right"/>
              <w:ind w:right="680"/>
              <w:spacing w:after="0"/>
              <w:rPr>
                <w:sz w:val="20"/>
                <w:szCs w:val="20"/>
                <w:color w:val="auto"/>
              </w:rPr>
            </w:pPr>
            <w:r>
              <w:rPr>
                <w:rFonts w:ascii="Arial" w:cs="Arial" w:eastAsia="Arial" w:hAnsi="Arial"/>
                <w:sz w:val="18"/>
                <w:szCs w:val="18"/>
                <w:b w:val="1"/>
                <w:bCs w:val="1"/>
                <w:color w:val="auto"/>
                <w:w w:val="99"/>
              </w:rPr>
              <w:t>Three Months Ended</w:t>
            </w:r>
          </w:p>
        </w:tc>
        <w:tc>
          <w:tcPr>
            <w:tcW w:w="200" w:type="dxa"/>
            <w:vAlign w:val="bottom"/>
          </w:tcPr>
          <w:p>
            <w:pPr>
              <w:spacing w:after="0"/>
              <w:rPr>
                <w:sz w:val="18"/>
                <w:szCs w:val="18"/>
                <w:color w:val="auto"/>
              </w:rPr>
            </w:pPr>
          </w:p>
        </w:tc>
        <w:tc>
          <w:tcPr>
            <w:tcW w:w="224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41"/>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ind w:right="7"/>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418"/>
        </w:trPr>
        <w:tc>
          <w:tcPr>
            <w:tcW w:w="5980" w:type="dxa"/>
            <w:vAlign w:val="bottom"/>
          </w:tcPr>
          <w:p>
            <w:pPr>
              <w:spacing w:after="0"/>
              <w:rPr>
                <w:sz w:val="20"/>
                <w:szCs w:val="20"/>
                <w:color w:val="auto"/>
              </w:rPr>
            </w:pPr>
            <w:r>
              <w:rPr>
                <w:rFonts w:ascii="Arial" w:cs="Arial" w:eastAsia="Arial" w:hAnsi="Arial"/>
                <w:sz w:val="18"/>
                <w:szCs w:val="18"/>
                <w:color w:val="auto"/>
              </w:rPr>
              <w:t>Salaries, Wages, &amp; Benefits</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3,906,796</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3,176,460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7,487,612</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6,382,597</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897,038</w:t>
            </w: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780,670</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1,604,191</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1,635,183</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Contractors and Consultants</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486,577</w:t>
            </w: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560,991</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785,963</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1,022,236</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Travel</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48,925</w:t>
            </w: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13,111</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58,755</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287,622</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Board Compensation</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61,250</w:t>
            </w: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51,375</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122,500</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102,750</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Professional Fees</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448,598</w:t>
            </w: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186,834</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769,818</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672,304</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Investor Relations</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51,019</w:t>
            </w: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28,677</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97,306</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48,127</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Advertising and Promotion</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255,680</w:t>
            </w: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154,166</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384,565</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289,068</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Technology Infrastructure Costs</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256,291</w:t>
            </w: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218,079</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469,570</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399,791</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Integration and Exclusivity Costs</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244,600</w:t>
            </w: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207,973</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563,158</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415,946</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Data Costs</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257,484</w:t>
            </w: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72,942</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545,396</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124,554</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Office, Facility, and Other</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262,320</w:t>
            </w: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227,955</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524,480</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381,477</w:t>
            </w:r>
          </w:p>
        </w:tc>
        <w:tc>
          <w:tcPr>
            <w:tcW w:w="0" w:type="dxa"/>
            <w:vAlign w:val="bottom"/>
          </w:tcPr>
          <w:p>
            <w:pPr>
              <w:spacing w:after="0"/>
              <w:rPr>
                <w:sz w:val="1"/>
                <w:szCs w:val="1"/>
                <w:color w:val="auto"/>
              </w:rPr>
            </w:pPr>
          </w:p>
        </w:tc>
      </w:tr>
      <w:tr>
        <w:trPr>
          <w:trHeight w:val="244"/>
        </w:trPr>
        <w:tc>
          <w:tcPr>
            <w:tcW w:w="59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21"/>
                <w:szCs w:val="21"/>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527,958</w:t>
            </w:r>
          </w:p>
        </w:tc>
        <w:tc>
          <w:tcPr>
            <w:tcW w:w="2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520,794</w:t>
            </w:r>
          </w:p>
        </w:tc>
        <w:tc>
          <w:tcPr>
            <w:tcW w:w="20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1,054,138</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1,040,463</w:t>
            </w:r>
          </w:p>
        </w:tc>
        <w:tc>
          <w:tcPr>
            <w:tcW w:w="0" w:type="dxa"/>
            <w:vAlign w:val="bottom"/>
          </w:tcPr>
          <w:p>
            <w:pPr>
              <w:spacing w:after="0"/>
              <w:rPr>
                <w:sz w:val="1"/>
                <w:szCs w:val="1"/>
                <w:color w:val="auto"/>
              </w:rPr>
            </w:pPr>
          </w:p>
        </w:tc>
      </w:tr>
      <w:tr>
        <w:trPr>
          <w:trHeight w:val="27"/>
        </w:trPr>
        <w:tc>
          <w:tcPr>
            <w:tcW w:w="5980" w:type="dxa"/>
            <w:vAlign w:val="bottom"/>
            <w:vMerge w:val="restart"/>
          </w:tcPr>
          <w:p>
            <w:pPr>
              <w:spacing w:after="0"/>
              <w:rPr>
                <w:sz w:val="20"/>
                <w:szCs w:val="20"/>
                <w:color w:val="auto"/>
              </w:rPr>
            </w:pPr>
            <w:r>
              <w:rPr>
                <w:rFonts w:ascii="Arial" w:cs="Arial" w:eastAsia="Arial" w:hAnsi="Arial"/>
                <w:sz w:val="18"/>
                <w:szCs w:val="18"/>
                <w:color w:val="auto"/>
              </w:rPr>
              <w:t>Total Operating Expense</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80"/>
        </w:trPr>
        <w:tc>
          <w:tcPr>
            <w:tcW w:w="5980" w:type="dxa"/>
            <w:vAlign w:val="bottom"/>
            <w:vMerge w:val="continue"/>
          </w:tcPr>
          <w:p>
            <w:pPr>
              <w:spacing w:after="0"/>
              <w:rPr>
                <w:sz w:val="24"/>
                <w:szCs w:val="24"/>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7,704,536</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6,200,027</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14,467,452</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12,802,118</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The increase in operating expenses related to salaries, wages, and benefits and other human resource related costs is due to the expansion of our team to support additional growth. This increase is partly offset by the decrease in contractors and consultants, as we have brought functions in house that were previously performed by outsiders.</w:t>
      </w:r>
    </w:p>
    <w:p>
      <w:pPr>
        <w:spacing w:after="0" w:line="18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expect salaries, wages, and benefits to continue to increase on a quarter over quarter basis for the balance of the year due to the full impact of new hires already in place, as well as new hires in the pipeline.</w:t>
      </w:r>
    </w:p>
    <w:p>
      <w:pPr>
        <w:spacing w:after="0" w:line="170"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Travel expense is down significantly on a year to date basis as a result of travel restrictions due to the pandemic. We expect travel expense to increase significantly starting in the third quarter of the year due to relaxed travel restrictions and pent up demand for meetings and visits.</w:t>
      </w: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81" w:right="379" w:bottom="1440" w:gutter="0" w:footer="0" w:header="0"/>
        </w:sectPr>
      </w:pPr>
    </w:p>
    <w:bookmarkStart w:id="17" w:name="page18"/>
    <w:bookmarkEnd w:id="17"/>
    <w:p>
      <w:pPr>
        <w:spacing w:after="0" w:line="275" w:lineRule="auto"/>
        <w:rPr>
          <w:sz w:val="20"/>
          <w:szCs w:val="20"/>
          <w:color w:val="auto"/>
        </w:rPr>
      </w:pPr>
      <w:r>
        <w:rPr>
          <w:rFonts w:ascii="Arial" w:cs="Arial" w:eastAsia="Arial" w:hAnsi="Arial"/>
          <w:sz w:val="17"/>
          <w:szCs w:val="17"/>
          <w:color w:val="auto"/>
        </w:rPr>
        <w:t>Professional fees increased significantly in the second quarter of 2021 compared with the prior year. With the assistance of an outside legal firm, we undertook a comprehensive governance review of our bylaws, board charters, equity compensation plan, and overall corporate policies. This review resulted in approximately $300,000 of expense in the second quarter. In the six month period ended June 30, 2021, this was partially offset by reduced audit fees as a result of our change in auditors, as well as a change in SEC rules that eliminated the need for a third-party opinion on our internal controls. We would expect professional fees to decrease from the second quarter level for the balance of the year.</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Investor relations expense increased due to the expansion of our communication efforts to reach retail investors and expand our shareholder base.</w:t>
      </w:r>
    </w:p>
    <w:p>
      <w:pPr>
        <w:spacing w:after="0" w:line="23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Technology infrastructure costs increased due to continued investment in our operating systems to facilitate new products as well as the implementation of additional software products to increase efficiency and information dissemination.</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Data costs increased as we have purchased more data, primarily to aid in our selling effort and allow customers to target their messages more appropriately, thereby increasing our ability to charge premium prices for more highly targeted messages.</w:t>
      </w:r>
    </w:p>
    <w:p>
      <w:pPr>
        <w:spacing w:after="0" w:line="170"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Integration and exclusivity costs represent payments to partners for access and/or exclusivity and increased because of new agreements signed after the first quarter of 2020. These payments are usually made in lump sums and expensed over the term of the contracts. These expenses are an important part of our ability to expand our network.</w:t>
      </w:r>
    </w:p>
    <w:p>
      <w:pPr>
        <w:spacing w:after="0" w:line="184"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Our office, facility and other expense increased primarily because of increased activity. The largest single increase related to hiring expenses associated with expanding our team, both for new additions so far, as well as new hires scheduled for the future, including recruiter fees in some instances.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All other variances in the table above are the result of normal fluctuations in activity.</w:t>
      </w:r>
    </w:p>
    <w:p>
      <w:pPr>
        <w:spacing w:after="0" w:line="225"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We expect our overall operating expenses to increase on a quarterly basis for the balance of the year as we further implement our business plan and expand our operations to grow the business in a very dynamic and active marketplace. However, we have established a strong team as a base to support growth and we are seeing the results of the investment in our team last year in our strong revenue growth this year. We do not expect human resource costs to increase as quickly as revenues, however we do expect to continue to add people to accelerate our growth and invest in future growth.</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(Loss)</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had net income of $0.4 million for the three months ended June 30, 2021, as compared to a net loss of $1.1 million during the same period in 2020. We had a loss of approximately $0.3 million for the six months ended June 30, 2021, as compared to net loss of approximately $3.3 million during the same period in 2020. The reasons and specific components associated with the change are discussed above. Overall, the net income for second quarter of 2021 and decreased loss for the six month period resulted from the increased margin generated by our higher revenues, partially offset by the increased operating expenses.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As of June 30, 2021, we had total current assets of $105.0 million, compared with current liabilities of $6.7 million, resulting in working capital of approximately $98.3 million and a current ratio of 15.7 to 1. This represents an increase from our working capital of approximately $23 million and current ratio of 3 to 1 at December 31, 2020.</w:t>
      </w:r>
    </w:p>
    <w:p>
      <w:pPr>
        <w:spacing w:after="0" w:line="184" w:lineRule="exact"/>
        <w:rPr>
          <w:sz w:val="20"/>
          <w:szCs w:val="20"/>
          <w:color w:val="auto"/>
        </w:rPr>
      </w:pPr>
    </w:p>
    <w:p>
      <w:pPr>
        <w:jc w:val="both"/>
        <w:ind w:right="40"/>
        <w:spacing w:after="0" w:line="279" w:lineRule="auto"/>
        <w:rPr>
          <w:sz w:val="20"/>
          <w:szCs w:val="20"/>
          <w:color w:val="auto"/>
        </w:rPr>
      </w:pPr>
      <w:r>
        <w:rPr>
          <w:rFonts w:ascii="Arial" w:cs="Arial" w:eastAsia="Arial" w:hAnsi="Arial"/>
          <w:sz w:val="17"/>
          <w:szCs w:val="17"/>
          <w:color w:val="auto"/>
        </w:rPr>
        <w:t>Our operating activities provided approximately $1.9 in cash flow during the six months ended June 30, 2021, compared with cash used of approximately $3.6 million in the same period in 2020. The cash provided in the 2021 period was the result of our net loss increased by noncash expenses, partially offset by working capital used in the reduction of liabilities. The cash used in the 2020 period was primarily the result of increased investment in working capital; in particular, we made a $2.0 million prepayment to a partner that was expensed over the balance of the year.</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8" w:name="page19"/>
    <w:bookmarkEnd w:id="18"/>
    <w:p>
      <w:pPr>
        <w:ind w:right="440"/>
        <w:spacing w:after="0" w:line="308" w:lineRule="auto"/>
        <w:rPr>
          <w:sz w:val="20"/>
          <w:szCs w:val="20"/>
          <w:color w:val="auto"/>
        </w:rPr>
      </w:pPr>
      <w:r>
        <w:rPr>
          <w:rFonts w:ascii="Arial" w:cs="Arial" w:eastAsia="Arial" w:hAnsi="Arial"/>
          <w:sz w:val="17"/>
          <w:szCs w:val="17"/>
          <w:color w:val="auto"/>
        </w:rPr>
        <w:t>We used insignificant amounts in investing activities in both the six months ended June 30, 2021 and 2020. These investments related to purchases of equipment as well as investments related to the expansion of our network capabilities in our patient engagement solution.</w:t>
      </w:r>
    </w:p>
    <w:p>
      <w:pPr>
        <w:spacing w:after="0" w:line="146"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Our financing activities provided $71.8 million in the six months ended June 30, 2021, compared with cash used of approximately $1.1 million in the same period in 2020. We raised $70.7 million in a public offering of our common stock as well as generated $2.7 million from the issuance of shares related to the exercise of stock options. These were partially offset by the payment of $1.6 in earnout payments from a previous acquisition. We have no remaining earnout payments due in the future. Financing activities used approximately $1.3 million related to earnout payments from a previous acquisition, offset by $0.3 million from the issuance of shares related to the exercise of stock options.</w:t>
      </w:r>
    </w:p>
    <w:p>
      <w:pPr>
        <w:spacing w:after="0" w:line="176" w:lineRule="exact"/>
        <w:rPr>
          <w:sz w:val="20"/>
          <w:szCs w:val="20"/>
          <w:color w:val="auto"/>
        </w:rPr>
      </w:pPr>
    </w:p>
    <w:p>
      <w:pPr>
        <w:jc w:val="both"/>
        <w:ind w:right="280"/>
        <w:spacing w:after="0" w:line="259" w:lineRule="auto"/>
        <w:rPr>
          <w:sz w:val="20"/>
          <w:szCs w:val="20"/>
          <w:color w:val="auto"/>
        </w:rPr>
      </w:pPr>
      <w:r>
        <w:rPr>
          <w:rFonts w:ascii="Arial" w:cs="Arial" w:eastAsia="Arial" w:hAnsi="Arial"/>
          <w:sz w:val="18"/>
          <w:szCs w:val="18"/>
          <w:color w:val="auto"/>
        </w:rPr>
        <w:t>We do not anticipate the need to raise additional capital in the short or long term for operating purposes or to fund our growth plans. We are focused on growing our revenue, channel and partner network. However, as a company in a market that is active with merger and acquisition activity, we may have opportunities, such as for acquisitions or strategic partner relationships, which may require additional capital. We will assess these opportunities as they arise with the view of maximizing shareholder value.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December 2001, the SEC requested that all registrants list their most “critical accounting polices” in the Management Discussion and Analysis. The SEC indicated that a “critical accounting policy” is one which is both important to the portrayal of a company’s financial condition and results, and requires management’s most difficult, subjective or complex judgments, often as a result of the need to make estimates about the effect of matters that are inherently uncertain. Our accounting policies are discussed in the footnotes to our financial statements included in our annual report on Form 10-K for the year ended December 31, 2020; however, we consider our critical accounting policies to be those related to determining the amount of revenue to be billed, the timing of revenue recognition, calculation of revenue share expense, stock-based compensation, capitalization and related amortization of intangible assets, impairment of assets, and the fair value of liabilities.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 xml:space="preserve">In December 2019, the FASB issued ASU No. 2019-12, </w:t>
      </w:r>
      <w:r>
        <w:rPr>
          <w:rFonts w:ascii="Arial" w:cs="Arial" w:eastAsia="Arial" w:hAnsi="Arial"/>
          <w:sz w:val="16"/>
          <w:szCs w:val="16"/>
          <w:i w:val="1"/>
          <w:iCs w:val="1"/>
          <w:color w:val="auto"/>
        </w:rPr>
        <w:t>Income Taxes (Topic 740): Simplifying the Accounting for Income Taxes</w:t>
      </w:r>
      <w:r>
        <w:rPr>
          <w:rFonts w:ascii="Arial" w:cs="Arial" w:eastAsia="Arial" w:hAnsi="Arial"/>
          <w:sz w:val="16"/>
          <w:szCs w:val="16"/>
          <w:color w:val="auto"/>
        </w:rPr>
        <w:t>. ASU 2019-12 is intended to improve consistent application and simplify the accounting for income taxes. ASU 2019-12 removes certain exceptions to the general principles in Topic 740 and clarifies and amends existing guidance. ASU 2019-12 was effective for annual and interim reporting periods beginning after December 12, 2020, with early adoption permitted. The adoption of this standard did not have a material effect on our financial position, results of operations, or cash flows.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2021, there were no off-balance sheet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are not required to provide the information required by this Item.</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81" w:right="35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Under the supervision and with the participation of our management, including our Chief Executive Officer and Chief Financial Officer, we conducted an evaluation of the effectiveness of the design and operation of our disclosure controls and procedures, as defined in Rules 13a-15(e) and 15d-15(e) under the Securities Exchange Act of 1934 (the “Exchange Act”), as of the end of the period covered by this report (the “Evaluation Date”). Based upon this evaluation, our Chief Executive Officer and Chief Financial Officer concluded as of the Evaluation Date that our disclosure controls and procedures were effective such that the material information required to be included in our SEC reports is recorded, processed, summarized, and reported within the time periods specified in SEC rules and forms relating to our company, including, our consolidated subsidiaries, and was made known to them by others within those entities, particularly during the period when this report was being prepared.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During the quarter ended June 30, 2021, we made routine ongoing improvements in our internal control and processes and hired an additional finance department team member, however, no material changes were made during the period.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the Effectiveness of Controls</w:t>
      </w:r>
    </w:p>
    <w:p>
      <w:pPr>
        <w:spacing w:after="0" w:line="229" w:lineRule="exact"/>
        <w:rPr>
          <w:sz w:val="20"/>
          <w:szCs w:val="20"/>
          <w:color w:val="auto"/>
        </w:rPr>
      </w:pPr>
    </w:p>
    <w:p>
      <w:pPr>
        <w:ind w:right="260"/>
        <w:spacing w:after="0" w:line="296" w:lineRule="auto"/>
        <w:rPr>
          <w:sz w:val="20"/>
          <w:szCs w:val="20"/>
          <w:color w:val="auto"/>
        </w:rPr>
      </w:pPr>
      <w:r>
        <w:rPr>
          <w:rFonts w:ascii="Arial" w:cs="Arial" w:eastAsia="Arial" w:hAnsi="Arial"/>
          <w:sz w:val="16"/>
          <w:szCs w:val="16"/>
          <w:color w:val="auto"/>
        </w:rPr>
        <w:t>Our management, including our Chief Executive Officer and Chief Financial Officer, does not expect that our disclosure controls and procedures or our internal controls will prevent all error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Due to the inherent limitations in all control systems, no evaluation of controls can provide absolute assurance that all control issues and instances of fraud, if any, within our company have been detected.</w:t>
      </w: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77" w:right="379" w:bottom="1440" w:gutter="0" w:footer="0" w:header="0"/>
        </w:sectPr>
      </w:pPr>
    </w:p>
    <w:bookmarkStart w:id="20" w:name="page21"/>
    <w:bookmarkEnd w:id="20"/>
    <w:p>
      <w:pPr>
        <w:jc w:val="center"/>
        <w:ind w:right="-5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We are not a party to any material pending legal proceeding. We are not aware of any pending legal proceeding to which any of our officers, directors, or any beneficial holders of 5% or more of our voting securities are adverse to us or have a material interest adverse to us.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risk factors included in our Annual Report on Form 10-K for 2020.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During the quarter ended June 30, 2021, we issued 2,035 shares of restricted common stock to our independent directors in connection with our Director Compensation Plan. We also issued a total 232,806 shares of stock in connection with the exercise of options.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July 2021, we issued 123,178 shares of common stock in conjunction with the exercise of stock options.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These securities were issued pursuant to Section 4(2) of the Securities Act and/or Rule 506 promulgated thereunder. The holders represented their intention to acquire the securities for investment only and not with a view towards distribution. The investors were given adequate information about us to make an informed investment decision. We did not engage in any general solicitation or advertising. We directed our transfer agent to issue the stock certificates with the appropriate restrictive legend affixed to the restricted stock.</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877" w:right="39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40" w:type="dxa"/>
            <w:vAlign w:val="bottom"/>
            <w:gridSpan w:val="2"/>
          </w:tcPr>
          <w:p>
            <w:pPr>
              <w:spacing w:after="0"/>
              <w:rPr>
                <w:sz w:val="20"/>
                <w:szCs w:val="20"/>
                <w:color w:val="auto"/>
              </w:rPr>
            </w:pPr>
            <w:r>
              <w:rPr>
                <w:rFonts w:ascii="Arial" w:cs="Arial" w:eastAsia="Arial" w:hAnsi="Arial"/>
                <w:sz w:val="18"/>
                <w:szCs w:val="18"/>
                <w:color w:val="auto"/>
              </w:rPr>
              <w:t>None</w:t>
            </w: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432"/>
        </w:trPr>
        <w:tc>
          <w:tcPr>
            <w:tcW w:w="1240" w:type="dxa"/>
            <w:vAlign w:val="bottom"/>
            <w:gridSpan w:val="2"/>
          </w:tcPr>
          <w:p>
            <w:pPr>
              <w:spacing w:after="0"/>
              <w:rPr>
                <w:sz w:val="20"/>
                <w:szCs w:val="20"/>
                <w:color w:val="auto"/>
              </w:rPr>
            </w:pPr>
            <w:r>
              <w:rPr>
                <w:rFonts w:ascii="Arial" w:cs="Arial" w:eastAsia="Arial" w:hAnsi="Arial"/>
                <w:sz w:val="18"/>
                <w:szCs w:val="18"/>
                <w:b w:val="1"/>
                <w:bCs w:val="1"/>
                <w:color w:val="auto"/>
                <w:w w:val="92"/>
              </w:rPr>
              <w:t>Item 6. Exhibits</w:t>
            </w: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414"/>
        </w:trPr>
        <w:tc>
          <w:tcPr>
            <w:tcW w:w="124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41"/>
        </w:trPr>
        <w:tc>
          <w:tcPr>
            <w:tcW w:w="1240" w:type="dxa"/>
            <w:vAlign w:val="bottom"/>
            <w:gridSpan w:val="2"/>
          </w:tcPr>
          <w:p>
            <w:pPr>
              <w:spacing w:after="0"/>
              <w:rPr>
                <w:sz w:val="20"/>
                <w:szCs w:val="20"/>
                <w:color w:val="auto"/>
              </w:rPr>
            </w:pPr>
            <w:r>
              <w:rPr>
                <w:rFonts w:ascii="Arial" w:cs="Arial" w:eastAsia="Arial" w:hAnsi="Arial"/>
                <w:sz w:val="18"/>
                <w:szCs w:val="18"/>
                <w:b w:val="1"/>
                <w:bCs w:val="1"/>
                <w:color w:val="auto"/>
              </w:rPr>
              <w:t>Number</w:t>
            </w:r>
          </w:p>
        </w:tc>
        <w:tc>
          <w:tcPr>
            <w:tcW w:w="10000" w:type="dxa"/>
            <w:vAlign w:val="bottom"/>
            <w:gridSpan w:val="7"/>
          </w:tcPr>
          <w:p>
            <w:pPr>
              <w:ind w:left="20"/>
              <w:spacing w:after="0"/>
              <w:rPr>
                <w:sz w:val="20"/>
                <w:szCs w:val="20"/>
                <w:color w:val="auto"/>
              </w:rPr>
            </w:pPr>
            <w:r>
              <w:rPr>
                <w:rFonts w:ascii="Arial" w:cs="Arial" w:eastAsia="Arial" w:hAnsi="Arial"/>
                <w:sz w:val="18"/>
                <w:szCs w:val="18"/>
                <w:b w:val="1"/>
                <w:bCs w:val="1"/>
                <w:color w:val="auto"/>
              </w:rPr>
              <w:t>Description of Exhibit</w:t>
            </w:r>
          </w:p>
        </w:tc>
      </w:tr>
      <w:tr>
        <w:trPr>
          <w:trHeight w:val="176"/>
        </w:trPr>
        <w:tc>
          <w:tcPr>
            <w:tcW w:w="1140" w:type="dxa"/>
            <w:vAlign w:val="bottom"/>
            <w:tcBorders>
              <w:top w:val="single" w:sz="8" w:color="auto"/>
            </w:tcBorders>
          </w:tcPr>
          <w:p>
            <w:pPr>
              <w:spacing w:after="0" w:line="176" w:lineRule="exact"/>
              <w:rPr>
                <w:sz w:val="20"/>
                <w:szCs w:val="20"/>
                <w:color w:val="auto"/>
              </w:rPr>
            </w:pPr>
            <w:r>
              <w:rPr>
                <w:rFonts w:ascii="Arial" w:cs="Arial" w:eastAsia="Arial" w:hAnsi="Arial"/>
                <w:sz w:val="18"/>
                <w:szCs w:val="18"/>
                <w:color w:val="auto"/>
              </w:rPr>
              <w:t>10.1**</w:t>
            </w:r>
          </w:p>
        </w:tc>
        <w:tc>
          <w:tcPr>
            <w:tcW w:w="100" w:type="dxa"/>
            <w:vAlign w:val="bottom"/>
          </w:tcPr>
          <w:p>
            <w:pPr>
              <w:spacing w:after="0"/>
              <w:rPr>
                <w:sz w:val="15"/>
                <w:szCs w:val="15"/>
                <w:color w:val="auto"/>
              </w:rPr>
            </w:pPr>
          </w:p>
        </w:tc>
        <w:tc>
          <w:tcPr>
            <w:tcW w:w="10000" w:type="dxa"/>
            <w:vAlign w:val="bottom"/>
            <w:tcBorders>
              <w:top w:val="single" w:sz="8" w:color="auto"/>
            </w:tcBorders>
            <w:gridSpan w:val="7"/>
          </w:tcPr>
          <w:p>
            <w:pPr>
              <w:ind w:left="20"/>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Addendum to the employment agreement between William Febbo and the Company dated September 24, 2020</w:t>
              </w:r>
            </w:hyperlink>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5160" w:type="dxa"/>
            <w:vAlign w:val="bottom"/>
            <w:shd w:val="clear" w:color="auto" w:fill="0000EE"/>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31.1**</w:t>
            </w:r>
          </w:p>
        </w:tc>
        <w:tc>
          <w:tcPr>
            <w:tcW w:w="100" w:type="dxa"/>
            <w:vAlign w:val="bottom"/>
          </w:tcPr>
          <w:p>
            <w:pPr>
              <w:spacing w:after="0"/>
              <w:rPr>
                <w:sz w:val="17"/>
                <w:szCs w:val="17"/>
                <w:color w:val="auto"/>
              </w:rPr>
            </w:pPr>
          </w:p>
        </w:tc>
        <w:tc>
          <w:tcPr>
            <w:tcW w:w="9740" w:type="dxa"/>
            <w:vAlign w:val="bottom"/>
            <w:tcBorders>
              <w:bottom w:val="single" w:sz="8" w:color="0000EE"/>
            </w:tcBorders>
            <w:gridSpan w:val="5"/>
          </w:tcPr>
          <w:p>
            <w:pPr>
              <w:ind w:left="20"/>
              <w:spacing w:after="0" w:line="196" w:lineRule="exact"/>
              <w:rPr>
                <w:rFonts w:ascii="Arial" w:cs="Arial" w:eastAsia="Arial" w:hAnsi="Arial"/>
                <w:sz w:val="18"/>
                <w:szCs w:val="18"/>
                <w:color w:val="0000EE"/>
                <w:w w:val="90"/>
              </w:rPr>
            </w:pPr>
            <w:hyperlink w:anchor="page25">
              <w:r>
                <w:rPr>
                  <w:rFonts w:ascii="Arial" w:cs="Arial" w:eastAsia="Arial" w:hAnsi="Arial"/>
                  <w:sz w:val="18"/>
                  <w:szCs w:val="18"/>
                  <w:color w:val="0000EE"/>
                  <w:w w:val="90"/>
                </w:rPr>
                <w:t>Certification of Chief Executive Officer pursuant to 18 U.S.C. Section 1350, as adopted pursuant to Section 302 of the Sarbanes-Oxley</w:t>
              </w:r>
            </w:hyperlink>
          </w:p>
        </w:tc>
        <w:tc>
          <w:tcPr>
            <w:tcW w:w="260" w:type="dxa"/>
            <w:vAlign w:val="bottom"/>
            <w:gridSpan w:val="2"/>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gridSpan w:val="7"/>
          </w:tcPr>
          <w:p>
            <w:pPr>
              <w:ind w:left="20"/>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Act of 2002</w:t>
              </w:r>
            </w:hyperlink>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9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31.2**</w:t>
            </w:r>
          </w:p>
        </w:tc>
        <w:tc>
          <w:tcPr>
            <w:tcW w:w="100" w:type="dxa"/>
            <w:vAlign w:val="bottom"/>
          </w:tcPr>
          <w:p>
            <w:pPr>
              <w:spacing w:after="0"/>
              <w:rPr>
                <w:sz w:val="17"/>
                <w:szCs w:val="17"/>
                <w:color w:val="auto"/>
              </w:rPr>
            </w:pPr>
          </w:p>
        </w:tc>
        <w:tc>
          <w:tcPr>
            <w:tcW w:w="10000" w:type="dxa"/>
            <w:vAlign w:val="bottom"/>
            <w:tcBorders>
              <w:bottom w:val="single" w:sz="8" w:color="0000EE"/>
            </w:tcBorders>
            <w:gridSpan w:val="7"/>
          </w:tcPr>
          <w:p>
            <w:pPr>
              <w:ind w:left="20"/>
              <w:spacing w:after="0" w:line="196" w:lineRule="exact"/>
              <w:rPr>
                <w:rFonts w:ascii="Arial" w:cs="Arial" w:eastAsia="Arial" w:hAnsi="Arial"/>
                <w:sz w:val="18"/>
                <w:szCs w:val="18"/>
                <w:color w:val="0000EE"/>
                <w:w w:val="90"/>
              </w:rPr>
            </w:pPr>
            <w:hyperlink w:anchor="page26">
              <w:r>
                <w:rPr>
                  <w:rFonts w:ascii="Arial" w:cs="Arial" w:eastAsia="Arial" w:hAnsi="Arial"/>
                  <w:sz w:val="18"/>
                  <w:szCs w:val="18"/>
                  <w:color w:val="0000EE"/>
                  <w:w w:val="90"/>
                </w:rPr>
                <w:t>Certification of Chief Financial Officer pursuant to 18 U.S.C. Section 1350, as adopted pursuant to Section 302 of the Sarbanes-Oxley Act</w:t>
              </w:r>
            </w:hyperlink>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gridSpan w:val="7"/>
          </w:tcPr>
          <w:p>
            <w:pPr>
              <w:ind w:left="20"/>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of 2002</w:t>
              </w:r>
            </w:hyperlink>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69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32.1**</w:t>
            </w:r>
          </w:p>
        </w:tc>
        <w:tc>
          <w:tcPr>
            <w:tcW w:w="100" w:type="dxa"/>
            <w:vAlign w:val="bottom"/>
          </w:tcPr>
          <w:p>
            <w:pPr>
              <w:spacing w:after="0"/>
              <w:rPr>
                <w:sz w:val="17"/>
                <w:szCs w:val="17"/>
                <w:color w:val="auto"/>
              </w:rPr>
            </w:pPr>
          </w:p>
        </w:tc>
        <w:tc>
          <w:tcPr>
            <w:tcW w:w="9800" w:type="dxa"/>
            <w:vAlign w:val="bottom"/>
            <w:tcBorders>
              <w:bottom w:val="single" w:sz="8" w:color="0000EE"/>
            </w:tcBorders>
            <w:gridSpan w:val="6"/>
          </w:tcPr>
          <w:p>
            <w:pPr>
              <w:ind w:left="20"/>
              <w:spacing w:after="0" w:line="196" w:lineRule="exact"/>
              <w:rPr>
                <w:rFonts w:ascii="Arial" w:cs="Arial" w:eastAsia="Arial" w:hAnsi="Arial"/>
                <w:sz w:val="18"/>
                <w:szCs w:val="18"/>
                <w:color w:val="0000EE"/>
                <w:w w:val="91"/>
              </w:rPr>
            </w:pPr>
            <w:hyperlink w:anchor="page27">
              <w:r>
                <w:rPr>
                  <w:rFonts w:ascii="Arial" w:cs="Arial" w:eastAsia="Arial" w:hAnsi="Arial"/>
                  <w:sz w:val="18"/>
                  <w:szCs w:val="18"/>
                  <w:color w:val="0000EE"/>
                  <w:w w:val="91"/>
                </w:rPr>
                <w:t>Certification of Chief Executive Officer and Chief Financial Officer pursuant to 18 U.S.C. Section 1350, as adopted pursuant to Section</w:t>
              </w:r>
            </w:hyperlink>
          </w:p>
        </w:tc>
        <w:tc>
          <w:tcPr>
            <w:tcW w:w="20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40" w:type="dxa"/>
            <w:vAlign w:val="bottom"/>
            <w:tcBorders>
              <w:bottom w:val="single" w:sz="8" w:color="0000EE"/>
            </w:tcBorders>
            <w:gridSpan w:val="3"/>
          </w:tcPr>
          <w:p>
            <w:pPr>
              <w:ind w:left="20"/>
              <w:spacing w:after="0" w:line="196" w:lineRule="exact"/>
              <w:rPr>
                <w:rFonts w:ascii="Arial" w:cs="Arial" w:eastAsia="Arial" w:hAnsi="Arial"/>
                <w:sz w:val="18"/>
                <w:szCs w:val="18"/>
                <w:color w:val="0000EE"/>
                <w:w w:val="90"/>
              </w:rPr>
            </w:pPr>
            <w:hyperlink w:anchor="page27">
              <w:r>
                <w:rPr>
                  <w:rFonts w:ascii="Arial" w:cs="Arial" w:eastAsia="Arial" w:hAnsi="Arial"/>
                  <w:sz w:val="18"/>
                  <w:szCs w:val="18"/>
                  <w:color w:val="0000EE"/>
                  <w:w w:val="90"/>
                </w:rPr>
                <w:t>906 of the Sarbanes-Oxley Act of 2002</w:t>
              </w:r>
            </w:hyperlink>
          </w:p>
        </w:tc>
        <w:tc>
          <w:tcPr>
            <w:tcW w:w="7160" w:type="dxa"/>
            <w:vAlign w:val="bottom"/>
            <w:gridSpan w:val="4"/>
          </w:tcPr>
          <w:p>
            <w:pPr>
              <w:spacing w:after="0"/>
              <w:rPr>
                <w:sz w:val="17"/>
                <w:szCs w:val="17"/>
                <w:color w:val="auto"/>
              </w:rPr>
            </w:pPr>
          </w:p>
        </w:tc>
      </w:tr>
      <w:tr>
        <w:trPr>
          <w:trHeight w:val="222"/>
        </w:trPr>
        <w:tc>
          <w:tcPr>
            <w:tcW w:w="124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0000" w:type="dxa"/>
            <w:vAlign w:val="bottom"/>
            <w:gridSpan w:val="7"/>
          </w:tcPr>
          <w:p>
            <w:pPr>
              <w:ind w:left="20"/>
              <w:spacing w:after="0"/>
              <w:rPr>
                <w:sz w:val="20"/>
                <w:szCs w:val="20"/>
                <w:color w:val="auto"/>
              </w:rPr>
            </w:pPr>
            <w:r>
              <w:rPr>
                <w:rFonts w:ascii="Arial" w:cs="Arial" w:eastAsia="Arial" w:hAnsi="Arial"/>
                <w:sz w:val="18"/>
                <w:szCs w:val="18"/>
                <w:color w:val="auto"/>
              </w:rPr>
              <w:t>Inline XBRL Instance Document.</w:t>
            </w:r>
          </w:p>
        </w:tc>
      </w:tr>
      <w:tr>
        <w:trPr>
          <w:trHeight w:val="216"/>
        </w:trPr>
        <w:tc>
          <w:tcPr>
            <w:tcW w:w="124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000" w:type="dxa"/>
            <w:vAlign w:val="bottom"/>
            <w:gridSpan w:val="7"/>
          </w:tcPr>
          <w:p>
            <w:pPr>
              <w:ind w:left="20"/>
              <w:spacing w:after="0"/>
              <w:rPr>
                <w:sz w:val="20"/>
                <w:szCs w:val="20"/>
                <w:color w:val="auto"/>
              </w:rPr>
            </w:pPr>
            <w:r>
              <w:rPr>
                <w:rFonts w:ascii="Arial" w:cs="Arial" w:eastAsia="Arial" w:hAnsi="Arial"/>
                <w:sz w:val="18"/>
                <w:szCs w:val="18"/>
                <w:color w:val="auto"/>
              </w:rPr>
              <w:t>Inline XBRL Taxonomy Extension Schema Document.</w:t>
            </w:r>
          </w:p>
        </w:tc>
      </w:tr>
      <w:tr>
        <w:trPr>
          <w:trHeight w:val="216"/>
        </w:trPr>
        <w:tc>
          <w:tcPr>
            <w:tcW w:w="124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000" w:type="dxa"/>
            <w:vAlign w:val="bottom"/>
            <w:gridSpan w:val="7"/>
          </w:tcPr>
          <w:p>
            <w:pPr>
              <w:ind w:left="20"/>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16"/>
        </w:trPr>
        <w:tc>
          <w:tcPr>
            <w:tcW w:w="124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000" w:type="dxa"/>
            <w:vAlign w:val="bottom"/>
            <w:gridSpan w:val="7"/>
          </w:tcPr>
          <w:p>
            <w:pPr>
              <w:ind w:left="20"/>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16"/>
        </w:trPr>
        <w:tc>
          <w:tcPr>
            <w:tcW w:w="124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000" w:type="dxa"/>
            <w:vAlign w:val="bottom"/>
            <w:gridSpan w:val="7"/>
          </w:tcPr>
          <w:p>
            <w:pPr>
              <w:ind w:left="20"/>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30"/>
        </w:trPr>
        <w:tc>
          <w:tcPr>
            <w:tcW w:w="124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000" w:type="dxa"/>
            <w:vAlign w:val="bottom"/>
            <w:gridSpan w:val="7"/>
          </w:tcPr>
          <w:p>
            <w:pPr>
              <w:ind w:left="20"/>
              <w:spacing w:after="0"/>
              <w:rPr>
                <w:sz w:val="20"/>
                <w:szCs w:val="20"/>
                <w:color w:val="auto"/>
              </w:rPr>
            </w:pPr>
            <w:r>
              <w:rPr>
                <w:rFonts w:ascii="Arial" w:cs="Arial" w:eastAsia="Arial" w:hAnsi="Arial"/>
                <w:sz w:val="18"/>
                <w:szCs w:val="18"/>
                <w:color w:val="auto"/>
              </w:rPr>
              <w:t>Inline XBRL Taxonomy Extension Presentation Linkbase Document.</w:t>
            </w:r>
          </w:p>
        </w:tc>
      </w:tr>
    </w:tbl>
    <w:p>
      <w:pPr>
        <w:ind w:left="1260" w:hanging="1252"/>
        <w:spacing w:after="0"/>
        <w:tabs>
          <w:tab w:leader="none" w:pos="1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10" w:lineRule="exact"/>
        <w:rPr>
          <w:rFonts w:ascii="Arial" w:cs="Arial" w:eastAsia="Arial" w:hAnsi="Arial"/>
          <w:sz w:val="18"/>
          <w:szCs w:val="18"/>
          <w:color w:val="auto"/>
        </w:rPr>
      </w:pPr>
    </w:p>
    <w:p>
      <w:pPr>
        <w:ind w:left="760" w:hanging="334"/>
        <w:spacing w:after="0"/>
        <w:tabs>
          <w:tab w:leader="none" w:pos="76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Provided herewith</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 accordance with the requirements of the Securities and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1240" w:type="dxa"/>
            <w:vAlign w:val="bottom"/>
            <w:gridSpan w:val="2"/>
          </w:tcPr>
          <w:p>
            <w:pPr>
              <w:ind w:left="6760"/>
              <w:spacing w:after="0"/>
              <w:rPr>
                <w:sz w:val="20"/>
                <w:szCs w:val="20"/>
                <w:color w:val="auto"/>
              </w:rPr>
            </w:pPr>
            <w:r>
              <w:rPr>
                <w:rFonts w:ascii="Arial" w:cs="Arial" w:eastAsia="Arial" w:hAnsi="Arial"/>
                <w:sz w:val="18"/>
                <w:szCs w:val="18"/>
                <w:b w:val="1"/>
                <w:bCs w:val="1"/>
                <w:color w:val="auto"/>
              </w:rPr>
              <w:t>OptimizeRx Corporation</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Date: August 4, 2021</w:t>
            </w:r>
          </w:p>
        </w:tc>
        <w:tc>
          <w:tcPr>
            <w:tcW w:w="3920" w:type="dxa"/>
            <w:vAlign w:val="bottom"/>
          </w:tcPr>
          <w:p>
            <w:pPr>
              <w:spacing w:after="0"/>
              <w:rPr>
                <w:sz w:val="18"/>
                <w:szCs w:val="18"/>
                <w:color w:val="auto"/>
              </w:rPr>
            </w:pPr>
          </w:p>
        </w:tc>
      </w:tr>
      <w:tr>
        <w:trPr>
          <w:trHeight w:val="237"/>
        </w:trPr>
        <w:tc>
          <w:tcPr>
            <w:tcW w:w="7320" w:type="dxa"/>
            <w:vAlign w:val="bottom"/>
          </w:tcPr>
          <w:p>
            <w:pPr>
              <w:ind w:left="676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J. Febbo</w:t>
            </w:r>
          </w:p>
        </w:tc>
      </w:tr>
      <w:tr>
        <w:trPr>
          <w:trHeight w:val="198"/>
        </w:trPr>
        <w:tc>
          <w:tcPr>
            <w:tcW w:w="7320" w:type="dxa"/>
            <w:vAlign w:val="bottom"/>
          </w:tcPr>
          <w:p>
            <w:pPr>
              <w:spacing w:after="0"/>
              <w:rPr>
                <w:sz w:val="17"/>
                <w:szCs w:val="17"/>
                <w:color w:val="auto"/>
              </w:rPr>
            </w:pPr>
          </w:p>
        </w:tc>
        <w:tc>
          <w:tcPr>
            <w:tcW w:w="3920" w:type="dxa"/>
            <w:vAlign w:val="bottom"/>
          </w:tcPr>
          <w:p>
            <w:pPr>
              <w:spacing w:after="0" w:line="198" w:lineRule="exact"/>
              <w:rPr>
                <w:sz w:val="20"/>
                <w:szCs w:val="20"/>
                <w:color w:val="auto"/>
              </w:rPr>
            </w:pPr>
            <w:r>
              <w:rPr>
                <w:rFonts w:ascii="Arial" w:cs="Arial" w:eastAsia="Arial" w:hAnsi="Arial"/>
                <w:sz w:val="18"/>
                <w:szCs w:val="18"/>
                <w:color w:val="auto"/>
              </w:rPr>
              <w:t>William J. Febbo</w:t>
            </w:r>
          </w:p>
        </w:tc>
      </w:tr>
      <w:tr>
        <w:trPr>
          <w:trHeight w:val="216"/>
        </w:trPr>
        <w:tc>
          <w:tcPr>
            <w:tcW w:w="7320" w:type="dxa"/>
            <w:vAlign w:val="bottom"/>
          </w:tcPr>
          <w:p>
            <w:pPr>
              <w:ind w:left="6760"/>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b w:val="1"/>
                <w:bCs w:val="1"/>
                <w:color w:val="auto"/>
              </w:rPr>
              <w:t>Chief Executive Officer,</w:t>
            </w:r>
          </w:p>
        </w:tc>
      </w:tr>
      <w:tr>
        <w:trPr>
          <w:trHeight w:val="234"/>
        </w:trPr>
        <w:tc>
          <w:tcPr>
            <w:tcW w:w="732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b w:val="1"/>
                <w:bCs w:val="1"/>
                <w:color w:val="auto"/>
              </w:rPr>
              <w:t>Principal Executive Officer, and Director</w:t>
            </w:r>
          </w:p>
        </w:tc>
      </w:tr>
      <w:tr>
        <w:trPr>
          <w:trHeight w:val="418"/>
        </w:trPr>
        <w:tc>
          <w:tcPr>
            <w:tcW w:w="11240" w:type="dxa"/>
            <w:vAlign w:val="bottom"/>
            <w:gridSpan w:val="2"/>
          </w:tcPr>
          <w:p>
            <w:pPr>
              <w:ind w:left="6760"/>
              <w:spacing w:after="0"/>
              <w:rPr>
                <w:sz w:val="20"/>
                <w:szCs w:val="20"/>
                <w:color w:val="auto"/>
              </w:rPr>
            </w:pPr>
            <w:r>
              <w:rPr>
                <w:rFonts w:ascii="Arial" w:cs="Arial" w:eastAsia="Arial" w:hAnsi="Arial"/>
                <w:sz w:val="18"/>
                <w:szCs w:val="18"/>
                <w:b w:val="1"/>
                <w:bCs w:val="1"/>
                <w:color w:val="auto"/>
              </w:rPr>
              <w:t>OptimizeRx Corporation</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Date: August 4, 2021</w:t>
            </w:r>
          </w:p>
        </w:tc>
        <w:tc>
          <w:tcPr>
            <w:tcW w:w="3920" w:type="dxa"/>
            <w:vAlign w:val="bottom"/>
          </w:tcPr>
          <w:p>
            <w:pPr>
              <w:spacing w:after="0"/>
              <w:rPr>
                <w:sz w:val="18"/>
                <w:szCs w:val="18"/>
                <w:color w:val="auto"/>
              </w:rPr>
            </w:pPr>
          </w:p>
        </w:tc>
      </w:tr>
      <w:tr>
        <w:trPr>
          <w:trHeight w:val="237"/>
        </w:trPr>
        <w:tc>
          <w:tcPr>
            <w:tcW w:w="7320" w:type="dxa"/>
            <w:vAlign w:val="bottom"/>
          </w:tcPr>
          <w:p>
            <w:pPr>
              <w:ind w:left="676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Douglas P. Baker</w:t>
            </w:r>
          </w:p>
        </w:tc>
      </w:tr>
      <w:tr>
        <w:trPr>
          <w:trHeight w:val="198"/>
        </w:trPr>
        <w:tc>
          <w:tcPr>
            <w:tcW w:w="7320" w:type="dxa"/>
            <w:vAlign w:val="bottom"/>
          </w:tcPr>
          <w:p>
            <w:pPr>
              <w:spacing w:after="0"/>
              <w:rPr>
                <w:sz w:val="17"/>
                <w:szCs w:val="17"/>
                <w:color w:val="auto"/>
              </w:rPr>
            </w:pPr>
          </w:p>
        </w:tc>
        <w:tc>
          <w:tcPr>
            <w:tcW w:w="3920" w:type="dxa"/>
            <w:vAlign w:val="bottom"/>
          </w:tcPr>
          <w:p>
            <w:pPr>
              <w:spacing w:after="0" w:line="198" w:lineRule="exact"/>
              <w:rPr>
                <w:sz w:val="20"/>
                <w:szCs w:val="20"/>
                <w:color w:val="auto"/>
              </w:rPr>
            </w:pPr>
            <w:r>
              <w:rPr>
                <w:rFonts w:ascii="Arial" w:cs="Arial" w:eastAsia="Arial" w:hAnsi="Arial"/>
                <w:sz w:val="18"/>
                <w:szCs w:val="18"/>
                <w:color w:val="auto"/>
              </w:rPr>
              <w:t>Douglas P. Baker</w:t>
            </w:r>
          </w:p>
        </w:tc>
      </w:tr>
      <w:tr>
        <w:trPr>
          <w:trHeight w:val="216"/>
        </w:trPr>
        <w:tc>
          <w:tcPr>
            <w:tcW w:w="7320" w:type="dxa"/>
            <w:vAlign w:val="bottom"/>
          </w:tcPr>
          <w:p>
            <w:pPr>
              <w:ind w:left="6760"/>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b w:val="1"/>
                <w:bCs w:val="1"/>
                <w:color w:val="auto"/>
              </w:rPr>
              <w:t>Chief Financial Officer,</w:t>
            </w:r>
          </w:p>
        </w:tc>
      </w:tr>
      <w:tr>
        <w:trPr>
          <w:trHeight w:val="216"/>
        </w:trPr>
        <w:tc>
          <w:tcPr>
            <w:tcW w:w="73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b w:val="1"/>
                <w:bCs w:val="1"/>
                <w:color w:val="auto"/>
              </w:rPr>
              <w:t>Principal Financial Officer and</w:t>
            </w:r>
          </w:p>
        </w:tc>
      </w:tr>
      <w:tr>
        <w:trPr>
          <w:trHeight w:val="234"/>
        </w:trPr>
        <w:tc>
          <w:tcPr>
            <w:tcW w:w="732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b w:val="1"/>
                <w:bCs w:val="1"/>
                <w:color w:val="auto"/>
              </w:rPr>
              <w:t>Principal Accounting Officer</w:t>
            </w:r>
          </w:p>
        </w:tc>
      </w:tr>
      <w:tr>
        <w:trPr>
          <w:trHeight w:val="655"/>
        </w:trPr>
        <w:tc>
          <w:tcPr>
            <w:tcW w:w="7320" w:type="dxa"/>
            <w:vAlign w:val="bottom"/>
            <w:tcBorders>
              <w:bottom w:val="single" w:sz="8" w:color="auto"/>
            </w:tcBorders>
          </w:tcPr>
          <w:p>
            <w:pPr>
              <w:ind w:left="5540"/>
              <w:spacing w:after="0"/>
              <w:rPr>
                <w:sz w:val="20"/>
                <w:szCs w:val="20"/>
                <w:color w:val="auto"/>
              </w:rPr>
            </w:pPr>
            <w:r>
              <w:rPr>
                <w:rFonts w:ascii="Arial" w:cs="Arial" w:eastAsia="Arial" w:hAnsi="Arial"/>
                <w:sz w:val="18"/>
                <w:szCs w:val="18"/>
                <w:color w:val="auto"/>
              </w:rPr>
              <w:t>21</w:t>
            </w:r>
          </w:p>
        </w:tc>
        <w:tc>
          <w:tcPr>
            <w:tcW w:w="3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7" w:right="3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 Addendum 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Addendum to agreement dated February 25, 2019</w:t>
      </w:r>
    </w:p>
    <w:p>
      <w:pPr>
        <w:spacing w:after="0" w:line="211"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This second addendum to the employment agreement (the “Addendum”) is made this 24th day of September 2020, by and between OptimizeRx, Corporation (the “Company”), a Nevada Company, and William Febbo (the “Executive”).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Severance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paragraph is hereby deleted in its entirety and replaced as indicated below.</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If (i) your employment is terminated by us without Cause (as defined below), (ii) you resign following an event constituting Good Reason (as defined below), provided that you have given written notice to the Company of such event within forty-five (45) days of its occurrence and the Company has failed to cure such event within thirty (30) days following receipt of such notice, or (iii) you no longer render services to us as a result of your death or Disability (as defined below), then you will receive a severance payment in the amount equal to twelve (12) months of your then applicable base pay, less applicable withholding taxes and regular deductions, payable in a lump sum (“Severance Benefits”). Health benefits will also be provided, at the Company’s sole expense during the applicable severance term.</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paragraph replaces the deleted paragraph:</w:t>
      </w:r>
    </w:p>
    <w:p>
      <w:pPr>
        <w:spacing w:after="0" w:line="225"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If (i) your employment is terminated by us without Cause (as defined below), (ii) you resign following an event constituting Good Reason (as defined below), provided that you have given written notice to the Company of such event within forty-five (45) days of its occurrence and the Company has failed to cure such event within thirty (30) days following receipt of such notice, or (iii) you no longer render services to us as a result of your death or Disability (as defined below), then you will receive a severance payment in the amount equal to twelve (12) months of your then applicable base pay, less applicable withholding taxes and regular deductions, payable in a lump sum (“Severance Benefits”). You will also receive your annual target bonus based on the rate of base pay in effect at the time. Benefits, including health, dental, vision, life, and disability, as well as company retirement plan contributions, will also be provided, at the Company’s sole expense during the applicable severance term.</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Change in Control Benefits: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paragraph is hereby deleted in its entirety and replaced as indicated below</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the event of a Change in Control (as defined below) during which you were actively employed, you will receive (i) twelve (12) months of your final base pay rate; and (ii) if the Company’s equity awards are assumed in the Change in Control, accelerated vesting of the number of your then-unvested Company stock option shares it being acknowledge and agreed that this section shall supersede any language to the contrary in any other document including the Form of Option Grant Agreement (collectively, the “Change in Control Benefits”). The Change in Control Benefits would be provided in lieu of any other severance-related benefits for which you may be eligible.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paragraph replaces the deleted paragraph:</w:t>
      </w:r>
    </w:p>
    <w:p>
      <w:pPr>
        <w:spacing w:after="0" w:line="22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 the event of a Change in Control (as defined below) during which you were actively employed, you will receive (i) eighteen (18) months of your final base pay rate; and (ii) an amount equal to your target bonus associated with such final base pay based, calculated as 1.5 times the annual target amount: and</w:t>
      </w:r>
    </w:p>
    <w:p>
      <w:pPr>
        <w:ind w:right="60" w:firstLine="8"/>
        <w:spacing w:after="0" w:line="253" w:lineRule="auto"/>
        <w:tabs>
          <w:tab w:leader="none" w:pos="315" w:val="left"/>
        </w:tabs>
        <w:numPr>
          <w:ilvl w:val="0"/>
          <w:numId w:val="6"/>
        </w:numPr>
        <w:rPr>
          <w:rFonts w:ascii="Arial" w:cs="Arial" w:eastAsia="Arial" w:hAnsi="Arial"/>
          <w:sz w:val="18"/>
          <w:szCs w:val="18"/>
          <w:color w:val="auto"/>
        </w:rPr>
      </w:pPr>
      <w:r>
        <w:rPr>
          <w:rFonts w:ascii="Arial" w:cs="Arial" w:eastAsia="Arial" w:hAnsi="Arial"/>
          <w:sz w:val="18"/>
          <w:szCs w:val="18"/>
          <w:color w:val="auto"/>
        </w:rPr>
        <w:t>eighteen months of company provided benefits including health, dental, vision, life, and disability insurance, as well as company retirement plan contributions;’ and (iv) if the Company’s equity awards are assumed in the Change in Control, accelerated vesting of the number of your then-unvested Company stock option shares it being acknowledge and agreed that this section shall supersede any language to the contrary in any other document including the Form of Option Grant Agreement (collectively, the “Change in Control Benefits”). The Change in Control Benefits would be provided in lieu of any other severance-related benefits for which you may be eligible.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Effective Date</w:t>
      </w:r>
      <w:r>
        <w:rPr>
          <w:rFonts w:ascii="Arial" w:cs="Arial" w:eastAsia="Arial" w:hAnsi="Arial"/>
          <w:sz w:val="18"/>
          <w:szCs w:val="18"/>
          <w:color w:val="auto"/>
        </w:rPr>
        <w:t>: September 24,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Acknowledgment: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Except as expressly set forth herein, all other terms of the Agreement remain in full force and effect.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 William Febbo</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Douglas P Baker</w:t>
            </w:r>
          </w:p>
        </w:tc>
        <w:tc>
          <w:tcPr>
            <w:tcW w:w="2800" w:type="dxa"/>
            <w:vAlign w:val="bottom"/>
          </w:tcPr>
          <w:p>
            <w:pPr>
              <w:ind w:left="224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Febbo</w:t>
            </w:r>
          </w:p>
        </w:tc>
      </w:tr>
      <w:tr>
        <w:trPr>
          <w:trHeight w:val="202"/>
        </w:trPr>
        <w:tc>
          <w:tcPr>
            <w:tcW w:w="580" w:type="dxa"/>
            <w:vAlign w:val="bottom"/>
          </w:tcPr>
          <w:p>
            <w:pPr>
              <w:spacing w:after="0" w:line="201" w:lineRule="exact"/>
              <w:rPr>
                <w:sz w:val="20"/>
                <w:szCs w:val="20"/>
                <w:color w:val="auto"/>
              </w:rPr>
            </w:pPr>
            <w:r>
              <w:rPr>
                <w:rFonts w:ascii="Arial" w:cs="Arial" w:eastAsia="Arial" w:hAnsi="Arial"/>
                <w:sz w:val="18"/>
                <w:szCs w:val="18"/>
                <w:color w:val="auto"/>
              </w:rPr>
              <w:t>Its:</w:t>
            </w:r>
          </w:p>
        </w:tc>
        <w:tc>
          <w:tcPr>
            <w:tcW w:w="3940" w:type="dxa"/>
            <w:vAlign w:val="bottom"/>
          </w:tcPr>
          <w:p>
            <w:pPr>
              <w:spacing w:after="0" w:line="201" w:lineRule="exact"/>
              <w:rPr>
                <w:sz w:val="20"/>
                <w:szCs w:val="20"/>
                <w:color w:val="auto"/>
              </w:rPr>
            </w:pPr>
            <w:r>
              <w:rPr>
                <w:rFonts w:ascii="Arial" w:cs="Arial" w:eastAsia="Arial" w:hAnsi="Arial"/>
                <w:sz w:val="18"/>
                <w:szCs w:val="18"/>
                <w:color w:val="auto"/>
              </w:rPr>
              <w:t>Chief Financial Officer</w:t>
            </w:r>
          </w:p>
        </w:tc>
        <w:tc>
          <w:tcPr>
            <w:tcW w:w="2800" w:type="dxa"/>
            <w:vAlign w:val="bottom"/>
          </w:tcPr>
          <w:p>
            <w:pPr>
              <w:ind w:left="2240"/>
              <w:spacing w:after="0" w:line="201" w:lineRule="exact"/>
              <w:rPr>
                <w:sz w:val="20"/>
                <w:szCs w:val="20"/>
                <w:color w:val="auto"/>
              </w:rPr>
            </w:pPr>
            <w:r>
              <w:rPr>
                <w:rFonts w:ascii="Arial" w:cs="Arial" w:eastAsia="Arial" w:hAnsi="Arial"/>
                <w:sz w:val="18"/>
                <w:szCs w:val="18"/>
                <w:color w:val="auto"/>
              </w:rPr>
              <w:t>Date:</w:t>
            </w: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September 24, 2020</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3940" w:type="dxa"/>
            <w:vAlign w:val="bottom"/>
          </w:tcPr>
          <w:p>
            <w:pPr>
              <w:spacing w:after="0"/>
              <w:rPr>
                <w:sz w:val="20"/>
                <w:szCs w:val="20"/>
                <w:color w:val="auto"/>
              </w:rPr>
            </w:pPr>
            <w:r>
              <w:rPr>
                <w:rFonts w:ascii="Arial" w:cs="Arial" w:eastAsia="Arial" w:hAnsi="Arial"/>
                <w:sz w:val="18"/>
                <w:szCs w:val="18"/>
                <w:color w:val="auto"/>
              </w:rPr>
              <w:t>September 24, 2020</w:t>
            </w:r>
          </w:p>
        </w:tc>
        <w:tc>
          <w:tcPr>
            <w:tcW w:w="2800" w:type="dxa"/>
            <w:vAlign w:val="bottom"/>
          </w:tcPr>
          <w:p>
            <w:pPr>
              <w:spacing w:after="0"/>
              <w:rPr>
                <w:sz w:val="20"/>
                <w:szCs w:val="20"/>
                <w:color w:val="auto"/>
              </w:rPr>
            </w:pPr>
          </w:p>
        </w:tc>
        <w:tc>
          <w:tcPr>
            <w:tcW w:w="3920" w:type="dxa"/>
            <w:vAlign w:val="bottom"/>
          </w:tcPr>
          <w:p>
            <w:pPr>
              <w:spacing w:after="0"/>
              <w:rPr>
                <w:sz w:val="20"/>
                <w:szCs w:val="20"/>
                <w:color w:val="auto"/>
              </w:rPr>
            </w:pPr>
          </w:p>
        </w:tc>
      </w:tr>
    </w:tbl>
    <w:p>
      <w:pPr>
        <w:sectPr>
          <w:pgSz w:w="11900" w:h="16838" w:orient="portrait"/>
          <w:cols w:equalWidth="0" w:num="1">
            <w:col w:w="11240"/>
          </w:cols>
          <w:pgMar w:left="320" w:top="121" w:right="3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William J. Febbo, certify that;</w:t>
      </w:r>
    </w:p>
    <w:p>
      <w:pPr>
        <w:spacing w:after="0" w:line="225"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June 30, 2021 of OptimizeRx Corp (the “registrant”);</w:t>
      </w:r>
    </w:p>
    <w:p>
      <w:pPr>
        <w:spacing w:after="0" w:line="225"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660" w:right="380" w:hanging="328"/>
        <w:spacing w:after="0" w:line="263" w:lineRule="auto"/>
        <w:tabs>
          <w:tab w:leader="none" w:pos="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660" w:right="60" w:hanging="328"/>
        <w:spacing w:after="0" w:line="263" w:lineRule="auto"/>
        <w:tabs>
          <w:tab w:leader="none" w:pos="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660" w:right="860" w:hanging="328"/>
        <w:spacing w:after="0" w:line="342" w:lineRule="auto"/>
        <w:tabs>
          <w:tab w:leader="none" w:pos="660" w:val="left"/>
        </w:tabs>
        <w:numPr>
          <w:ilvl w:val="1"/>
          <w:numId w:val="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660" w:right="80" w:hanging="328"/>
        <w:spacing w:after="0" w:line="263" w:lineRule="auto"/>
        <w:tabs>
          <w:tab w:leader="none" w:pos="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280" w:hanging="328"/>
        <w:spacing w:after="0" w:line="277" w:lineRule="auto"/>
        <w:tabs>
          <w:tab w:leader="none" w:pos="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240" w:hanging="328"/>
        <w:spacing w:after="0" w:line="277" w:lineRule="auto"/>
        <w:tabs>
          <w:tab w:leader="none" w:pos="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4,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William J. Febbo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5432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By: William J. Febbo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Chief Executive Officer</w:t>
      </w:r>
    </w:p>
    <w:p>
      <w:pPr>
        <w:sectPr>
          <w:pgSz w:w="11900" w:h="16838" w:orient="portrait"/>
          <w:cols w:equalWidth="0" w:num="1">
            <w:col w:w="11240"/>
          </w:cols>
          <w:pgMar w:left="320" w:top="121" w:right="3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Douglas P. Baker, certify that;</w:t>
      </w:r>
    </w:p>
    <w:p>
      <w:pPr>
        <w:spacing w:after="0" w:line="225"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June 30, 2021 of OptimizeRx Corp (the “registrant”);</w:t>
      </w:r>
    </w:p>
    <w:p>
      <w:pPr>
        <w:spacing w:after="0" w:line="225"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660" w:right="380" w:hanging="328"/>
        <w:spacing w:after="0" w:line="263" w:lineRule="auto"/>
        <w:tabs>
          <w:tab w:leader="none" w:pos="66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660" w:right="60" w:hanging="328"/>
        <w:spacing w:after="0" w:line="263" w:lineRule="auto"/>
        <w:tabs>
          <w:tab w:leader="none" w:pos="66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660" w:right="860" w:hanging="328"/>
        <w:spacing w:after="0" w:line="342" w:lineRule="auto"/>
        <w:tabs>
          <w:tab w:leader="none" w:pos="660" w:val="left"/>
        </w:tabs>
        <w:numPr>
          <w:ilvl w:val="1"/>
          <w:numId w:val="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660" w:right="80" w:hanging="328"/>
        <w:spacing w:after="0" w:line="263" w:lineRule="auto"/>
        <w:tabs>
          <w:tab w:leader="none" w:pos="660"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280" w:hanging="328"/>
        <w:spacing w:after="0" w:line="277" w:lineRule="auto"/>
        <w:tabs>
          <w:tab w:leader="none" w:pos="660" w:val="left"/>
        </w:tabs>
        <w:numPr>
          <w:ilvl w:val="1"/>
          <w:numId w:val="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240" w:hanging="328"/>
        <w:spacing w:after="0" w:line="277" w:lineRule="auto"/>
        <w:tabs>
          <w:tab w:leader="none" w:pos="66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4,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Douglas P.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5432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By: Douglas P. Baker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Chief Financial Officer</w:t>
      </w:r>
    </w:p>
    <w:p>
      <w:pPr>
        <w:sectPr>
          <w:pgSz w:w="11900" w:h="16838" w:orient="portrait"/>
          <w:cols w:equalWidth="0" w:num="1">
            <w:col w:w="11240"/>
          </w:cols>
          <w:pgMar w:left="320" w:top="121" w:right="3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In connection with the quarterly Report of OptimizeRx Corp (the “Company”) on Form 10-Q for the quarter ended June 30, 2021 filed with the Securities and Exchange Commission (the “Report”), I, Will Febbo, Chief Executive Officer and I, Douglas Baker, Chief Financial Officer of the Company, certify, pursuant to 18 U.S.C. Section 1350, as adopted pursuant to Section 906 of the Sarbanes-Oxley Act of 2002, that:</w:t>
      </w:r>
    </w:p>
    <w:p>
      <w:pPr>
        <w:spacing w:after="0" w:line="184"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the Securities Exchange Act of 1934; and</w:t>
      </w:r>
    </w:p>
    <w:p>
      <w:pPr>
        <w:spacing w:after="0" w:line="225" w:lineRule="exact"/>
        <w:rPr>
          <w:rFonts w:ascii="Arial" w:cs="Arial" w:eastAsia="Arial" w:hAnsi="Arial"/>
          <w:sz w:val="18"/>
          <w:szCs w:val="18"/>
          <w:color w:val="auto"/>
        </w:rPr>
      </w:pPr>
    </w:p>
    <w:p>
      <w:pPr>
        <w:ind w:left="340" w:right="280" w:hanging="332"/>
        <w:spacing w:after="0" w:line="277"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consolidated financial condition of the Company as of the dates presented and the consolidated result of operations of the Company for the periods presented.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J Febbo</w:t>
            </w:r>
          </w:p>
        </w:tc>
      </w:tr>
      <w:tr>
        <w:trPr>
          <w:trHeight w:val="202"/>
        </w:trPr>
        <w:tc>
          <w:tcPr>
            <w:tcW w:w="5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Willian J Febbo</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Principal Executive Officer, and Director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3920" w:type="dxa"/>
            <w:vAlign w:val="bottom"/>
          </w:tcPr>
          <w:p>
            <w:pPr>
              <w:spacing w:after="0"/>
              <w:rPr>
                <w:sz w:val="20"/>
                <w:szCs w:val="20"/>
                <w:color w:val="auto"/>
              </w:rPr>
            </w:pPr>
            <w:r>
              <w:rPr>
                <w:rFonts w:ascii="Arial" w:cs="Arial" w:eastAsia="Arial" w:hAnsi="Arial"/>
                <w:sz w:val="18"/>
                <w:szCs w:val="18"/>
                <w:color w:val="auto"/>
              </w:rPr>
              <w:t>August 4, 2021</w:t>
            </w:r>
          </w:p>
        </w:tc>
      </w:tr>
      <w:tr>
        <w:trPr>
          <w:trHeight w:val="43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Douglas P. Baker</w:t>
            </w:r>
          </w:p>
        </w:tc>
      </w:tr>
      <w:tr>
        <w:trPr>
          <w:trHeight w:val="202"/>
        </w:trPr>
        <w:tc>
          <w:tcPr>
            <w:tcW w:w="5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Douglas P. Baker</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Principal Financial Officer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3920" w:type="dxa"/>
            <w:vAlign w:val="bottom"/>
          </w:tcPr>
          <w:p>
            <w:pPr>
              <w:spacing w:after="0"/>
              <w:rPr>
                <w:sz w:val="20"/>
                <w:szCs w:val="20"/>
                <w:color w:val="auto"/>
              </w:rPr>
            </w:pPr>
            <w:r>
              <w:rPr>
                <w:rFonts w:ascii="Arial" w:cs="Arial" w:eastAsia="Arial" w:hAnsi="Arial"/>
                <w:sz w:val="18"/>
                <w:szCs w:val="18"/>
                <w:color w:val="auto"/>
              </w:rPr>
              <w:t>August 4, 2021</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This certification has been furnished solely pursuant to Section 906 of the Sarbanes-Oxley Act of 2002.</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lvl w:ilvl="1">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1."/>
      <w:numFmt w:val="decimal"/>
      <w:start w:val="1"/>
    </w:lvl>
  </w:abstractNum>
  <w:abstractNum w:abstractNumId="4">
    <w:nsid w:val="41B71EFB"/>
    <w:multiLevelType w:val="hybridMultilevel"/>
    <w:lvl w:ilvl="0">
      <w:lvlJc w:val="left"/>
      <w:lvlText w:val="%1"/>
      <w:numFmt w:val="decimal"/>
      <w:start w:val="104"/>
    </w:lvl>
    <w:lvl w:ilvl="1">
      <w:lvlJc w:val="left"/>
      <w:lvlText w:val="**"/>
      <w:numFmt w:val="bullet"/>
      <w:start w:val="1"/>
    </w:lvl>
  </w:abstractNum>
  <w:abstractNum w:abstractNumId="5">
    <w:nsid w:val="79E2A9E3"/>
    <w:multiLevelType w:val="hybridMultilevel"/>
    <w:lvl w:ilvl="0">
      <w:lvlJc w:val="left"/>
      <w:lvlText w:val="(%1)"/>
      <w:numFmt w:val="lowerRoman"/>
      <w:start w:val="3"/>
    </w:lvl>
  </w:abstractNum>
  <w:abstractNum w:abstractNumId="6">
    <w:nsid w:val="7545E146"/>
    <w:multiLevelType w:val="hybridMultilevel"/>
    <w:lvl w:ilvl="0">
      <w:lvlJc w:val="left"/>
      <w:lvlText w:val="%1."/>
      <w:numFmt w:val="decimal"/>
      <w:start w:val="1"/>
    </w:lvl>
    <w:lvl w:ilvl="1">
      <w:lvlJc w:val="left"/>
      <w:lvlText w:val="%2."/>
      <w:numFmt w:val="lowerLetter"/>
      <w:start w:val="1"/>
    </w:lvl>
  </w:abstractNum>
  <w:abstractNum w:abstractNumId="7">
    <w:nsid w:val="515F007C"/>
    <w:multiLevelType w:val="hybridMultilevel"/>
    <w:lvl w:ilvl="0">
      <w:lvlJc w:val="left"/>
      <w:lvlText w:val="%1."/>
      <w:numFmt w:val="decimal"/>
      <w:start w:val="1"/>
    </w:lvl>
    <w:lvl w:ilvl="1">
      <w:lvlJc w:val="left"/>
      <w:lvlText w:val="%2."/>
      <w:numFmt w:val="lowerLetter"/>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2021-08-04T15:38:58Z</dcterms:created>
  <dcterms:modified xsi:type="dcterms:W3CDTF">2021-08-04T15:38:58Z</dcterms:modified>
</cp:coreProperties>
</file>