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December 10, 2018</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333-228357</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OPTIMIZERX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Nevada</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7389</w:t>
            </w:r>
          </w:p>
        </w:tc>
        <w:tc>
          <w:tcPr>
            <w:tcW w:w="2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Incorporation or Organization)</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Classification Code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400 Water Street,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Rochester, MI 48307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(248) 651-6568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83185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Spring Valley Solutions,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982-5686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83185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Stein,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Morgan, Lewis &amp; Bockius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Federal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 02110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(617) 341-7700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Scott Doney,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83185</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86"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8"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22" w:right="239" w:bottom="152" w:gutter="0" w:footer="0" w:header="0"/>
        </w:sectPr>
      </w:pPr>
    </w:p>
    <w:p>
      <w:pPr>
        <w:spacing w:after="0" w:line="54"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6600" w:space="720"/>
            <w:col w:w="4100"/>
          </w:cols>
          <w:pgMar w:left="240" w:top="422" w:right="239" w:bottom="152"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64770</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ectPr>
          <w:pgSz w:w="11900" w:h="16838" w:orient="portrait"/>
          <w:cols w:equalWidth="0" w:num="1">
            <w:col w:w="11420"/>
          </w:cols>
          <w:pgMar w:left="240" w:top="422" w:right="239" w:bottom="152" w:gutter="0" w:footer="0" w:header="0"/>
          <w:type w:val="continuous"/>
        </w:sectPr>
      </w:pPr>
    </w:p>
    <w:bookmarkStart w:id="1" w:name="page2"/>
    <w:bookmarkEnd w:id="1"/>
    <w:p>
      <w:pPr>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such offer or sale is not permitted.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SUBJECT TO COMPLETION, DATED DECEMBER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154940</wp:posOffset>
            </wp:positionV>
            <wp:extent cx="1895475"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OptimizeRx Corporation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$40,000,000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2,103,702 Common Shares Offered by the Selling Shareholder</w:t>
      </w:r>
    </w:p>
    <w:p>
      <w:pPr>
        <w:spacing w:after="0" w:line="21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We may offer and sell from time to time common shares, preferred shares, debt securities, warrants or units. We may offer and sell these securities to or through one or more underwriters, dealers and agents, or directly to purchasers, on a continuous or delayed basis. Specific amounts and terms of these securities will be provided in supplements to this prospectus. The aggregate initial offering price of all securities sold by us will not exceed $40,000,000.</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selling shareholder named in this prospectus (the “selling shareholder”) may from time to time offer and sell up to 2,103,702 of our common shares. The selling shareholder may offer and sell our common shares in public or private transactions, or both. These sales may occur at fixed prices, at market prices prevailing at the time of sale, at prices related to prevailing market prices, or at negotiated prices. See “Plan of Distribution” for more information on how the selling shareholder may conduct sales of our common shares. We will not receive any proceeds from any sale of these common shares by the selling shareholders.</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Each time we or the selling shareholder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3"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3 OF THIS PROSPECTUS AND ANY SIMILAR SECTION CONTAINED IN THE APPLICABLE PROSPECTUS SUPPLEMENT CONCERNING FACTORS YOU SHOULD CONSIDER BEFORE INVESTING IN OUR SECURITIES.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shares are listed on the Nasdaq Capital Market under the symbol “OPRX.” On December 10, 2018, the last reported sale price of our common shares on the Nasdaq Capital Market was $14.90 per share.</w:t>
      </w:r>
    </w:p>
    <w:p>
      <w:pPr>
        <w:spacing w:after="0" w:line="166"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date of this prospectus is __________,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40" w:type="dxa"/>
            <w:vAlign w:val="bottom"/>
            <w:gridSpan w:val="2"/>
          </w:tcPr>
          <w:p>
            <w:pPr>
              <w:ind w:left="18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OptimizeRx Corporation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0000EE"/>
            </w:tcBorders>
            <w:gridSpan w:val="8"/>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About This Prospectus</w:t>
              </w:r>
            </w:hyperlink>
          </w:p>
        </w:tc>
        <w:tc>
          <w:tcPr>
            <w:tcW w:w="872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Incorporation By Reference</w:t>
              </w:r>
            </w:hyperlink>
          </w:p>
        </w:tc>
        <w:tc>
          <w:tcPr>
            <w:tcW w:w="850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Use of Proceeds</w:t>
              </w:r>
            </w:hyperlink>
          </w:p>
        </w:tc>
        <w:tc>
          <w:tcPr>
            <w:tcW w:w="934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Selling Shareholder</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Share Capital</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Debt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Description of Warrants</w:t>
              </w:r>
            </w:hyperlink>
          </w:p>
        </w:tc>
        <w:tc>
          <w:tcPr>
            <w:tcW w:w="87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Units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Plan of Distribution</w:t>
              </w:r>
            </w:hyperlink>
          </w:p>
        </w:tc>
        <w:tc>
          <w:tcPr>
            <w:tcW w:w="908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Experts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Disclosure of Commission Position on Indemnification for Securities Act Liabilities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Neither we nor the selling shareholders have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Neither we nor the selling shareholders are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Unless otherwise indicated or the context otherwise requires, all references in this prospectus to “OptimizeRx Corporation” or the “Company,” “Registrant,” “we,” “our,” “ours,” “us” or similar terms refer to OptimizeRx Corporation, together with its subsidiaries, and, where the context requires, our predecessor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5878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587883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jc w:val="both"/>
        <w:ind w:left="100" w:right="260"/>
        <w:spacing w:after="0" w:line="279" w:lineRule="auto"/>
        <w:rPr>
          <w:sz w:val="20"/>
          <w:szCs w:val="20"/>
          <w:color w:val="auto"/>
        </w:rPr>
      </w:pPr>
      <w:r>
        <w:rPr>
          <w:rFonts w:ascii="Arial" w:cs="Arial" w:eastAsia="Arial" w:hAnsi="Arial"/>
          <w:sz w:val="17"/>
          <w:szCs w:val="17"/>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71" w:lineRule="exact"/>
        <w:rPr>
          <w:sz w:val="20"/>
          <w:szCs w:val="20"/>
          <w:color w:val="auto"/>
        </w:rPr>
      </w:pPr>
    </w:p>
    <w:p>
      <w:pPr>
        <w:ind w:left="100" w:right="780"/>
        <w:spacing w:after="0" w:line="342" w:lineRule="auto"/>
        <w:rPr>
          <w:sz w:val="20"/>
          <w:szCs w:val="20"/>
          <w:color w:val="auto"/>
        </w:rPr>
      </w:pPr>
      <w:r>
        <w:rPr>
          <w:rFonts w:ascii="Arial" w:cs="Arial" w:eastAsia="Arial" w:hAnsi="Arial"/>
          <w:sz w:val="16"/>
          <w:szCs w:val="16"/>
          <w:color w:val="auto"/>
        </w:rPr>
        <w:t>Our address 400 Water Street, Suite 200 Rochester, MI 48307. Our telephone number at this address is (248) 651-6568. Our principal website is https://optimizerx.com/. The information contained on, or that can be accessed through, our website is not a part of this prospectus.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process. By using a shelf registration statement, we may sell securities from time to time and in one or more offerings up to a total dollar amount of</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$40,000,000 as described in this prospectus. In addition, under this shelf registration statement, the selling shareholder named in this prospectus may sell,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from time to time, up to 2,103,702 of our common shares. Each time that we or the selling shareholders offer and sell securities, we will provide a</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prospectus supplement to this prospectus that contains specific information about the securities being offered and sold and the specific terms of that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offering. The prospectus supplement may also add, update or change information contained in this prospectus with respect to that offering. If there is any</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inconsistency between the information in this prospectus and the applicable prospectus supplement, you should rely on the prospectus supplement. Before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purchasing any securities, you should carefully read both this prospectus and the applicable prospectus supplement, together with the additional</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information described under the headings “Where You Can Find More Information” and “Incorporation by Reference.”</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00"/>
        <w:spacing w:after="0" w:line="285" w:lineRule="auto"/>
        <w:rPr>
          <w:sz w:val="20"/>
          <w:szCs w:val="20"/>
          <w:color w:val="auto"/>
        </w:rPr>
      </w:pPr>
      <w:r>
        <w:rPr>
          <w:rFonts w:ascii="Arial" w:cs="Arial" w:eastAsia="Arial" w:hAnsi="Arial"/>
          <w:sz w:val="16"/>
          <w:szCs w:val="16"/>
          <w:color w:val="auto"/>
        </w:rPr>
        <w:t>This prospectus, any prospectus supplement and the documents incorporated by reference herein or therein contain forward-looking statements within the meaning of Section 27A of the Securities Act of 1933, as amended (the “Securities Act”), and Section 21E of the Securities Exchange Act of 1934, as amended (the “Exchange Act”). Such statements contained in this prospectus or any prospectus supplement or incorporated by reference herein or therein are based upon current expectations that involve risks and uncertainties. Any statements contained in this prospectus or any prospectus supplement or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those discussed in the “Risk Factors” section, in addition to the other information set forth in this prospectus or any prospectus supplement or incorporated by reference herein or therein. We claim the protection of the safe harbor for forward-looking statements contained in the Private Securities Litigation Reform Act of 1995 for all forward-looking statements. All forward-looking statements contained in this prospectus or any prospectus supplement or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our Annual Report on Form 10-K for the year ended December 31, 2017 and our Quarterly Reports on Form 10-Q for the quarters ended March 31, 2018, June 30, 2018 and September 30, 2018. You should carefully consider the risks described in the “Risk Factors” section, in addition to the other information set forth in this prospectus or any prospectus supplement or incorporated by reference herein or therein, before making an investment decision.</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226" w:right="39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015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140" cy="60159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00" w:right="40"/>
        <w:spacing w:after="0" w:line="253"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10-K, quarterly reports on Form 10-Q and current reports on Form 8-K.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 We also maintain a website at ir.smartm.com,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shares. We have included our website address in this prospectus solely as an inactive textual reference.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00" w:right="40"/>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of 1934, as amended, prior to the termination of the offering under this prospectus:</w:t>
      </w:r>
    </w:p>
    <w:p>
      <w:pPr>
        <w:spacing w:after="0" w:line="188" w:lineRule="exact"/>
        <w:rPr>
          <w:sz w:val="20"/>
          <w:szCs w:val="20"/>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8, 2018;</w:t>
      </w:r>
    </w:p>
    <w:p>
      <w:pPr>
        <w:spacing w:after="0" w:line="23" w:lineRule="exact"/>
        <w:rPr>
          <w:rFonts w:ascii="Arial" w:cs="Arial" w:eastAsia="Arial" w:hAnsi="Arial"/>
          <w:sz w:val="18"/>
          <w:szCs w:val="18"/>
          <w:color w:val="auto"/>
        </w:rPr>
      </w:pPr>
    </w:p>
    <w:p>
      <w:pPr>
        <w:ind w:left="760" w:right="60" w:hanging="333"/>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June 30, 2018 and September 30, 2018, filed with the SEC on May 2, 2018, August 7, 2018 and November 5, 2018, respectively;</w:t>
      </w:r>
    </w:p>
    <w:p>
      <w:pPr>
        <w:ind w:left="760" w:right="220" w:hanging="333"/>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Reports on Form 8-K or 8-K/A, as the case may be, filed with the SEC on December 10, 2018, October 17, 2018, September 14, 2018, March 27, 2018 and February 2, 2018; and</w:t>
      </w:r>
    </w:p>
    <w:p>
      <w:pPr>
        <w:ind w:left="760" w:right="20" w:hanging="333"/>
        <w:spacing w:after="0" w:line="261"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8-A, filed with the SEC on June 19, 2018, including any amendment or reports filed for the purpose of updating such description.</w:t>
      </w:r>
    </w:p>
    <w:p>
      <w:pPr>
        <w:spacing w:after="0" w:line="184" w:lineRule="exact"/>
        <w:rPr>
          <w:sz w:val="20"/>
          <w:szCs w:val="20"/>
          <w:color w:val="auto"/>
        </w:rPr>
      </w:pPr>
    </w:p>
    <w:p>
      <w:pPr>
        <w:ind w:left="100" w:right="80"/>
        <w:spacing w:after="0" w:line="264" w:lineRule="auto"/>
        <w:rPr>
          <w:sz w:val="20"/>
          <w:szCs w:val="20"/>
          <w:color w:val="auto"/>
        </w:rPr>
      </w:pPr>
      <w:r>
        <w:rPr>
          <w:rFonts w:ascii="Arial" w:cs="Arial" w:eastAsia="Arial" w:hAnsi="Arial"/>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7.01 or 8.01 of Form 8-K or certain exhibits furnished pursuant to Item 9.01 of Form 8-K.</w:t>
      </w:r>
    </w:p>
    <w:p>
      <w:pPr>
        <w:spacing w:after="0" w:line="181" w:lineRule="exact"/>
        <w:rPr>
          <w:sz w:val="20"/>
          <w:szCs w:val="20"/>
          <w:color w:val="auto"/>
        </w:rPr>
      </w:pPr>
    </w:p>
    <w:p>
      <w:pPr>
        <w:ind w:left="100" w:right="380"/>
        <w:spacing w:after="0" w:line="277" w:lineRule="auto"/>
        <w:rPr>
          <w:sz w:val="20"/>
          <w:szCs w:val="20"/>
          <w:color w:val="auto"/>
        </w:rPr>
      </w:pPr>
      <w:r>
        <w:rPr>
          <w:rFonts w:ascii="Arial" w:cs="Arial" w:eastAsia="Arial" w:hAnsi="Arial"/>
          <w:sz w:val="18"/>
          <w:szCs w:val="18"/>
          <w:color w:val="auto"/>
        </w:rPr>
        <w:t>You may request, and we will provide you with, a copy of these filings, at no cost, by calling us at (248) 651-6568 or by writing to us at the following address: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 investment in our securities involves significant risks. Before purchasing any securities, you should carefully consider and evaluate all of the information included and incorporated by reference or deemed to be incorporated by reference in this prospectus or the applicable prospectus supplement, including the risk factors incorporated by reference herein from our Annual Report on Form 10-K for the year ended December 31, 2017, as updated by annual, quarterly and other reports and documents we file with the SEC after the date of this prospectus and that are incorporated by reference herein or in the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Unless otherwise indicated in a prospectus supplement, the net proceeds from the sale of the securities will be used for general corporate purposes, including working capital, acquisitions, retirement of debt and other business opportunities. We will not receive any proceeds from any shares sold by the selling shareholder.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prepared this prospectus to allow the selling shareholder or its transferees to sell or otherwise dispose of, from time to time, up to 2,103,702 common shares. On or about September 24, 2015, the selling shareholder, through a subsidiary company, made a strategic investment in our company and presently owns approximately 18% of the common shares in our company.</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the time of the investment, we entered into an Investor Rights Agreement, which provides, among other things, demand registration rights for its securities, inspection rights over our books and records, observer rights to attend and observe our director meetings, a seat on our board of directors, budget review of our financial plans, right of first refusal in the event we issue new securities and special board approval for certain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Also at the time of the investment, we amended and restated an existing Co-Marketing Agreement with Grey Healthcare Group, LLC (“GHG”) an affiliate of WPP. This agreement was amended to give the GHG the option to receive all or part of the compensation due under the agreement in our common shares. In March of 2018, we issued 100,000 shares of our common stock to a subsidiary of WPP related to the finalization and termination of the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The following table sets forth the activity between us and WPP in 2017 and 2016.</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6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bl>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table below presents information regarding the selling shareholder and the common shares that they may sell or otherwise dispose of from time to time under this prospectus. Percentages of beneficial ownership are based upon 12,014,185 common shares issued and outstanding as of December 10, 2018. Beneficial ownership is determined under Section 13(d) of the Exchange Act and generally includes voting or investment power with respect to securities and including any securities that grant the selling shareholder the right to acquire common shares within 60 days of December 10, 2018. Unless otherwise noted, each person or group identified possesses sole voting and investment power with respect to the shares, subject to community property laws where applicable.</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do not know when or in what amounts the selling shareholder may sell or otherwise dispose of the shares covered hereby. We currently have no agreements, arrangements or understandings with the selling shareholder regarding the sale or other disposition of any of the shares by them other than the registration rights agreement described above. The selling shareholder might not sell any or all of the shares covered by this prospectus or may sell or dispose of some or all of the shares other than pursuant to this prospectus. Because the selling shareholder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 after completion of the offering. For purposes of determining the beneficial ownership of the selling shareholder after this offering, we have assumed that all of the shares covered hereby have been sold pursuant to the registration statement of which this prospectus forms a part.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to be</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89"/>
              </w:rPr>
              <w:t>Beneficially</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Sold Pursuant</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4540" w:type="dxa"/>
            <w:vAlign w:val="bottom"/>
          </w:tcPr>
          <w:p>
            <w:pPr>
              <w:spacing w:after="0"/>
              <w:rPr>
                <w:sz w:val="18"/>
                <w:szCs w:val="18"/>
                <w:color w:val="auto"/>
              </w:rPr>
            </w:pPr>
          </w:p>
        </w:tc>
        <w:tc>
          <w:tcPr>
            <w:tcW w:w="282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93"/>
              </w:rPr>
              <w:t>Owned Prior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 this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r>
      <w:tr>
        <w:trPr>
          <w:trHeight w:val="241"/>
        </w:trPr>
        <w:tc>
          <w:tcPr>
            <w:tcW w:w="4540" w:type="dxa"/>
            <w:vAlign w:val="bottom"/>
          </w:tcPr>
          <w:p>
            <w:pPr>
              <w:spacing w:after="0"/>
              <w:rPr>
                <w:sz w:val="20"/>
                <w:szCs w:val="20"/>
                <w:color w:val="auto"/>
              </w:rPr>
            </w:pPr>
            <w:r>
              <w:rPr>
                <w:rFonts w:ascii="Arial" w:cs="Arial" w:eastAsia="Arial" w:hAnsi="Arial"/>
                <w:sz w:val="18"/>
                <w:szCs w:val="18"/>
                <w:b w:val="1"/>
                <w:bCs w:val="1"/>
                <w:color w:val="auto"/>
              </w:rPr>
              <w:t>Name of Selling Shareholder</w:t>
            </w:r>
          </w:p>
        </w:tc>
        <w:tc>
          <w:tcPr>
            <w:tcW w:w="282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3"/>
              </w:rPr>
              <w:t>to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Prospectus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r>
      <w:tr>
        <w:trPr>
          <w:trHeight w:val="216"/>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WPP Luxembourg Gamma Three S.a r.l.</w:t>
            </w: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5" w:lineRule="exact"/>
        <w:rPr>
          <w:sz w:val="20"/>
          <w:szCs w:val="20"/>
          <w:color w:val="auto"/>
        </w:rPr>
      </w:pPr>
    </w:p>
    <w:p>
      <w:pPr>
        <w:sectPr>
          <w:pgSz w:w="11900" w:h="16838" w:orient="portrait"/>
          <w:cols w:equalWidth="0" w:num="1">
            <w:col w:w="11420"/>
          </w:cols>
          <w:pgMar w:left="240" w:top="226" w:right="239" w:bottom="1064"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064"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authorized capital stock consists of 166,666,667 shares of common stock and 10,000,000 shares of preferred stock, par value $0.001 per share. As of December 10, 2018, there were 12,014,185 shares of our common stock issued and outstanding and 0 shares of our preferred stock issued and outstanding. Our Board of Directors approved a one for three reverse stock split that became effective May 14, 2018. The effects of this reverse split have been retroactively reflected in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46"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jc w:val="both"/>
        <w:ind w:left="660" w:right="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ind w:left="660" w:right="5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2, 2018, we entered into a registration rights agreement with certain investors pursuant to which we agreed to register for resale the 1,666,669 shares of common stock (the “Registrable Securities”) acquired by the investors in an offering that closed on May 4, 2018.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filed a registration statement covering these shares in a post-effective amendment to Form S-1 on Form S-3, filed with the SEC on July 3,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right="7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Demand Registration Rights</w:t>
      </w:r>
      <w:r>
        <w:rPr>
          <w:rFonts w:ascii="Arial" w:cs="Arial" w:eastAsia="Arial" w:hAnsi="Arial"/>
          <w:sz w:val="18"/>
          <w:szCs w:val="18"/>
          <w:color w:val="auto"/>
        </w:rPr>
        <w:t>. We granted the Investor registration rights for the 2,003,702 acquired from us and any securities acquired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an Amended and Restated Co-Marketing Agreement after a period of two years.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right="28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Inspection Rights</w:t>
      </w:r>
      <w:r>
        <w:rPr>
          <w:rFonts w:ascii="Arial" w:cs="Arial" w:eastAsia="Arial" w:hAnsi="Arial"/>
          <w:sz w:val="18"/>
          <w:szCs w:val="18"/>
          <w:color w:val="auto"/>
        </w:rPr>
        <w:t>. So long as the Investor owns not less than 25% of the Shares, we granted the Investor an annual right to inspect our books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ind w:left="660" w:right="1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Board Seat</w:t>
      </w:r>
      <w:r>
        <w:rPr>
          <w:rFonts w:ascii="Arial" w:cs="Arial" w:eastAsia="Arial" w:hAnsi="Arial"/>
          <w:sz w:val="18"/>
          <w:szCs w:val="18"/>
          <w:color w:val="auto"/>
        </w:rPr>
        <w:t>. So long as the Investor owns not less than 25% of the Shares, we agreed to appoint a nominee of the Investor as a member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We also agreed to a five member Board of Directors provided that it is not prohibited by the rules and regulations of an exchange that we trade on. We also agreed to enter into an Indemnity Agreement with the nominee.</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Budget Review</w:t>
      </w:r>
      <w:r>
        <w:rPr>
          <w:rFonts w:ascii="Arial" w:cs="Arial" w:eastAsia="Arial" w:hAnsi="Arial"/>
          <w:sz w:val="18"/>
          <w:szCs w:val="18"/>
          <w:color w:val="auto"/>
        </w:rPr>
        <w:t>. So long as the Investor owns not less than 25% of the Shares, we agreed to review our budget plans with the Investor’s nominee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submission to the Board of Directors, at the request of the Investor.</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 We agreed that, in the event that it proposes to sell new securities, we will first offer such new securities to the Investor.</w:t>
      </w:r>
    </w:p>
    <w:p>
      <w:pPr>
        <w:spacing w:after="0" w:line="32" w:lineRule="exact"/>
        <w:rPr>
          <w:rFonts w:ascii="Arial" w:cs="Arial" w:eastAsia="Arial" w:hAnsi="Arial"/>
          <w:sz w:val="16"/>
          <w:szCs w:val="16"/>
          <w:color w:val="auto"/>
        </w:rPr>
      </w:pPr>
    </w:p>
    <w:p>
      <w:pPr>
        <w:ind w:left="660" w:right="500" w:hanging="328"/>
        <w:spacing w:after="0" w:line="32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Special Approval Matters</w:t>
      </w:r>
      <w:r>
        <w:rPr>
          <w:rFonts w:ascii="Arial" w:cs="Arial" w:eastAsia="Arial" w:hAnsi="Arial"/>
          <w:sz w:val="16"/>
          <w:szCs w:val="16"/>
          <w:color w:val="auto"/>
        </w:rPr>
        <w:t>. So long as the Investor owns not less than 25% of the Shares, and provided that it is not prohibited by the rules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of an exchange that we trades on, we agreed that 80% Board approval will be required for certain decisions, including:</w:t>
      </w:r>
    </w:p>
    <w:p>
      <w:pPr>
        <w:spacing w:after="0" w:line="166"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9" w:lineRule="exact"/>
        <w:rPr>
          <w:rFonts w:ascii="Arial" w:cs="Arial" w:eastAsia="Arial" w:hAnsi="Arial"/>
          <w:sz w:val="18"/>
          <w:szCs w:val="18"/>
          <w:color w:val="auto"/>
        </w:rPr>
      </w:pPr>
    </w:p>
    <w:p>
      <w:pPr>
        <w:ind w:left="1300" w:right="4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ind w:left="1300" w:right="14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ind w:left="130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ind w:left="1300" w:right="32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ind w:left="1300" w:right="240" w:hanging="320"/>
        <w:spacing w:after="0" w:line="25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 issued and outstanding capital stock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outstanding warrants to purchase our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options outstanding to purchase 1,444,464 shares of our common stock at a weighted average exercise price of $3.62 as of September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Nasdaq Capital Market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Any debt securities we may issue will constitute either senior or subordinated debt of our company. Any debt securities that are sold may be exchangeable for and/or convertible into common shares or any of the other securities that may be sold under this prospectus. Any debt securities will be issued under an indenture between us and a trustee we will designate, or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preferred shares, common shares or any combination of such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and/or the selling shareholder, including its pledgees, donees, transferees, distributees, beneficiaries or other successors in interest, if applicable, may sell the securities in one or more of the following ways (or in any combination) from time to time:</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one or more block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ordinary brokerage transactions or transactions in which a broker solicits purchases;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 pledge of the securities for any loan or obligation, including pledges to brokers or dealers who may from time to time effect distributions of the securities, and, in the case of any collateral call or default on such loan or obligation, pledges or sales of the securities by such pledges or secured parties;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one or more exchanges or over the counter market transactions;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distribution by a selling shareholder or its successor in interest to its members, general or limited partners or shareholders (or their respective members, general or limited partners or shareholders);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of options, whether the options are listed on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distributions to creditors and equityholders or the selling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agents;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necessary, the prospectus supplement will state the terms of the offering of the securities,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or names of any selling shareholder;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details regarding over-allotment options under which underwriters may purchase additional securities from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we and/or the selling shareholder, if applicable, use underwriters or broker-dealers in the sale, the securities will be acquired by the underwriters or broker-dealers, as applicable, for their own account and may be resold from time to time in one or more transactions, including:</w:t>
      </w:r>
    </w:p>
    <w:p>
      <w:pPr>
        <w:spacing w:after="0" w:line="1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market offerings,” within the meaning of Rule 415(a)(4) of the Securities Act, to or through a market maker or into an existing trading market, on an exchange or otherwise;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and/or the selling shareholder, if applicable, may sell the securities through agents from time to time. The prospectus supplement will name any agent involved in the offer or sale of the securities and any commissions we pay to them. Generally, any agent will be acting on a best-efforts basis for the period of its appointment.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and/or the selling shareholder, if applicable,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Underwriters and agents may be entitled under agreements entered into with us and/or the selling shareholders, if applicable, to indemnification by us and/or the selling shareholders,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selling shareholder may also resell all or a portion of its securities in open market transactions in reliance upon Rule 144 under the Securities Act, provided it meets the criteria and conforms to the requirements of Rule 144 and all applicable laws and regulations.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selling shareholder that is an entity may elect to make a pro rata in-kind distribution of shares of our common stock to its members, partners or stockholders pursuant to the registration statement of which this prospectus forms a part by delivering a prospectus. To the extent that such members, partners or stockholders are not affiliates of such selling shareholder, such members, partners or stockholders would thereby receive freely tradeable shares of our common stock pursuant to the distribution through a registration statement.</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selling shareholder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our common shares. The third parties also may use shares of the common shares received under those sale, forward sale or derivative arrangements or shares of the common shares pledged by the selling shareholder or borrowed from the selling shareholders or others to settle such third-party sales or to close out any related open borrowings of our common shares.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w:t>
      </w:r>
    </w:p>
    <w:p>
      <w:pPr>
        <w:spacing w:after="0" w:line="1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the selling shareholder may engage in hedging transactions with broker-dealers in connection with distributions of the securities or otherwise. In those transactions, broker-dealers may engage in short sales of securities in the course of hedging the positions they assume with selling shareholders. The selling shareholder may also sell securities short and redeliver securities to close out such short positions. The selling shareholder may also enter into option or other transactions with broker-dealers which require the delivery of securities to the broker-dealer. The broker-dealer may then resell or otherwise transfer such securities pursuant to this prospectus. The selling shareholders also may loan or pledge the securities, and the borrower or pledgee may sell or otherwise transfer the securities so loaned or pledged pursuant to this prospectus. Such borrower or pledgee also may transfer those securities to investors in our securities or the selling shareholders’ securities or in connection with the offering of other securities not covered by this prospectus.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series of securities other than the common shares, which is listed on the Nasdaq Capital Market, and any series of debt securities outstanding on the date hereof, will be a new issue of securities and will have no established trading market. Any underwriters to whom securities are sold for public offering and sale may make a market in the securities, but such underwriters will not be obligated to do so and may discontinue any market making at any time without notice. The securities, other than the common shares, may or may not be listed on a national securities exchange.</w:t>
      </w:r>
    </w:p>
    <w:p>
      <w:pPr>
        <w:sectPr>
          <w:pgSz w:w="11900" w:h="16838" w:orient="portrait"/>
          <w:cols w:equalWidth="0" w:num="1">
            <w:col w:w="11400"/>
          </w:cols>
          <w:pgMar w:left="240" w:top="226" w:right="25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SECURITIES ACT LIABILITIES</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costs and expenses payable by the Registrant in connection with the sale of the securities being registered hereby.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to</w:t>
            </w:r>
          </w:p>
        </w:tc>
      </w:tr>
      <w:tr>
        <w:trPr>
          <w:trHeight w:val="24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Be Paid</w:t>
            </w: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Printing</w:t>
            </w:r>
          </w:p>
        </w:tc>
        <w:tc>
          <w:tcPr>
            <w:tcW w:w="22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Legal fees and expenses (including Blue Sky fees)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and trustee fees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Rating agency fees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0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Miscellaneous</w:t>
            </w: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1"/>
        </w:trPr>
        <w:tc>
          <w:tcPr>
            <w:tcW w:w="6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60" w:type="dxa"/>
            <w:vAlign w:val="bottom"/>
            <w:gridSpan w:val="2"/>
          </w:tcPr>
          <w:p>
            <w:pPr>
              <w:spacing w:after="0"/>
              <w:rPr>
                <w:sz w:val="19"/>
                <w:szCs w:val="19"/>
                <w:color w:val="auto"/>
              </w:rPr>
            </w:pPr>
          </w:p>
        </w:tc>
        <w:tc>
          <w:tcPr>
            <w:tcW w:w="97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Not presently known.</w:t>
            </w:r>
          </w:p>
        </w:tc>
        <w:tc>
          <w:tcPr>
            <w:tcW w:w="7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1"/>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95"/>
              </w:rPr>
              <w:t>Item 15.</w:t>
            </w:r>
          </w:p>
        </w:tc>
        <w:tc>
          <w:tcPr>
            <w:tcW w:w="9740" w:type="dxa"/>
            <w:vAlign w:val="bottom"/>
            <w:gridSpan w:val="2"/>
          </w:tcPr>
          <w:p>
            <w:pPr>
              <w:ind w:left="320"/>
              <w:spacing w:after="0"/>
              <w:rPr>
                <w:sz w:val="20"/>
                <w:szCs w:val="20"/>
                <w:color w:val="auto"/>
              </w:rPr>
            </w:pPr>
            <w:r>
              <w:rPr>
                <w:rFonts w:ascii="Arial" w:cs="Arial" w:eastAsia="Arial" w:hAnsi="Arial"/>
                <w:sz w:val="18"/>
                <w:szCs w:val="18"/>
                <w:b w:val="1"/>
                <w:bCs w:val="1"/>
                <w:color w:val="auto"/>
              </w:rPr>
              <w:t>Indemnification of Directors and Officers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81" w:lineRule="exact"/>
        <w:rPr>
          <w:sz w:val="20"/>
          <w:szCs w:val="20"/>
          <w:color w:val="auto"/>
        </w:rPr>
      </w:pPr>
    </w:p>
    <w:p>
      <w:pPr>
        <w:ind w:left="660" w:right="60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1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ectPr>
          <w:pgSz w:w="11900" w:h="16838" w:orient="portrait"/>
          <w:cols w:equalWidth="0" w:num="1">
            <w:col w:w="11420"/>
          </w:cols>
          <w:pgMar w:left="240" w:top="226" w:right="2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500" w:type="dxa"/>
            <w:vAlign w:val="bottom"/>
            <w:gridSpan w:val="41"/>
          </w:tcPr>
          <w:p>
            <w:pPr>
              <w:ind w:left="60"/>
              <w:spacing w:after="0"/>
              <w:rPr>
                <w:sz w:val="20"/>
                <w:szCs w:val="20"/>
                <w:color w:val="auto"/>
              </w:rPr>
            </w:pPr>
            <w:r>
              <w:rPr>
                <w:rFonts w:ascii="Arial" w:cs="Arial" w:eastAsia="Arial" w:hAnsi="Arial"/>
                <w:sz w:val="18"/>
                <w:szCs w:val="18"/>
                <w:b w:val="1"/>
                <w:bCs w:val="1"/>
                <w:color w:val="auto"/>
              </w:rPr>
              <w:t>Exhibits and Financial Statement Schedules</w:t>
            </w:r>
          </w:p>
        </w:tc>
        <w:tc>
          <w:tcPr>
            <w:tcW w:w="0" w:type="dxa"/>
            <w:vAlign w:val="bottom"/>
          </w:tcPr>
          <w:p>
            <w:pPr>
              <w:spacing w:after="0"/>
              <w:rPr>
                <w:sz w:val="1"/>
                <w:szCs w:val="1"/>
                <w:color w:val="auto"/>
              </w:rPr>
            </w:pPr>
          </w:p>
        </w:tc>
      </w:tr>
      <w:tr>
        <w:trPr>
          <w:trHeight w:val="41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gridSpan w:val="40"/>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120" w:type="dxa"/>
            <w:vAlign w:val="bottom"/>
            <w:tcBorders>
              <w:top w:val="single" w:sz="8" w:color="auto"/>
              <w:bottom w:val="single" w:sz="8" w:color="auto"/>
            </w:tcBorders>
            <w:gridSpan w:val="27"/>
            <w:vMerge w:val="restart"/>
            <w:shd w:val="clear" w:color="auto" w:fill="CCEEFF"/>
          </w:tcPr>
          <w:p>
            <w:pPr>
              <w:spacing w:after="0"/>
              <w:rPr>
                <w:rFonts w:ascii="Arial" w:cs="Arial" w:eastAsia="Arial" w:hAnsi="Arial"/>
                <w:sz w:val="18"/>
                <w:szCs w:val="18"/>
                <w:color w:val="0000EE"/>
                <w:w w:val="94"/>
              </w:rPr>
            </w:pPr>
            <w:hyperlink r:id="rId33">
              <w:r>
                <w:rPr>
                  <w:rFonts w:ascii="Arial" w:cs="Arial" w:eastAsia="Arial" w:hAnsi="Arial"/>
                  <w:sz w:val="18"/>
                  <w:szCs w:val="18"/>
                  <w:color w:val="0000EE"/>
                  <w:w w:val="94"/>
                </w:rPr>
                <w:t>Articles of Incorporation of OptimizeRx Corporation (the “Company”)</w:t>
              </w:r>
            </w:hyperlink>
          </w:p>
        </w:tc>
        <w:tc>
          <w:tcPr>
            <w:tcW w:w="80" w:type="dxa"/>
            <w:vAlign w:val="bottom"/>
            <w:tcBorders>
              <w:top w:val="single" w:sz="8" w:color="auto"/>
              <w:bottom w:val="single" w:sz="8" w:color="0000EE"/>
            </w:tcBorders>
            <w:shd w:val="clear" w:color="auto" w:fill="CCEEFF"/>
          </w:tcPr>
          <w:p>
            <w:pPr>
              <w:jc w:val="right"/>
              <w:spacing w:after="0" w:line="129" w:lineRule="exact"/>
              <w:rPr>
                <w:rFonts w:ascii="Arial" w:cs="Arial" w:eastAsia="Arial" w:hAnsi="Arial"/>
                <w:sz w:val="14"/>
                <w:szCs w:val="14"/>
                <w:color w:val="0000EE"/>
                <w:w w:val="76"/>
              </w:rPr>
            </w:pPr>
            <w:hyperlink r:id="rId33">
              <w:r>
                <w:rPr>
                  <w:rFonts w:ascii="Arial" w:cs="Arial" w:eastAsia="Arial" w:hAnsi="Arial"/>
                  <w:sz w:val="14"/>
                  <w:szCs w:val="14"/>
                  <w:color w:val="0000EE"/>
                  <w:w w:val="76"/>
                </w:rPr>
                <w:t>1</w:t>
              </w:r>
            </w:hyperlink>
          </w:p>
        </w:tc>
        <w:tc>
          <w:tcPr>
            <w:tcW w:w="9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6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3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6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5120" w:type="dxa"/>
            <w:vAlign w:val="bottom"/>
            <w:tcBorders>
              <w:bottom w:val="single" w:sz="8" w:color="0000EE"/>
            </w:tcBorders>
            <w:gridSpan w:val="27"/>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68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16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tcPr>
          <w:p>
            <w:pPr>
              <w:spacing w:after="0"/>
              <w:rPr>
                <w:sz w:val="12"/>
                <w:szCs w:val="12"/>
                <w:color w:val="auto"/>
              </w:rPr>
            </w:pPr>
          </w:p>
        </w:tc>
        <w:tc>
          <w:tcPr>
            <w:tcW w:w="3460" w:type="dxa"/>
            <w:vAlign w:val="bottom"/>
            <w:tcBorders>
              <w:top w:val="single" w:sz="8" w:color="CCEEFF"/>
              <w:bottom w:val="single" w:sz="8" w:color="CCEEFF"/>
            </w:tcBorders>
            <w:gridSpan w:val="13"/>
            <w:vMerge w:val="restart"/>
          </w:tcPr>
          <w:p>
            <w:pPr>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Amended and Restated Bylaws of the Company</w:t>
              </w:r>
            </w:hyperlink>
          </w:p>
        </w:tc>
        <w:tc>
          <w:tcPr>
            <w:tcW w:w="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76"/>
              </w:rPr>
            </w:pPr>
            <w:hyperlink r:id="rId34">
              <w:r>
                <w:rPr>
                  <w:rFonts w:ascii="Arial" w:cs="Arial" w:eastAsia="Arial" w:hAnsi="Arial"/>
                  <w:sz w:val="14"/>
                  <w:szCs w:val="14"/>
                  <w:color w:val="0000EE"/>
                  <w:w w:val="76"/>
                </w:rPr>
                <w:t>2</w:t>
              </w:r>
            </w:hyperlink>
          </w:p>
        </w:tc>
        <w:tc>
          <w:tcPr>
            <w:tcW w:w="2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120" w:type="dxa"/>
            <w:vAlign w:val="bottom"/>
            <w:tcBorders>
              <w:top w:val="single" w:sz="8" w:color="CCEEFF"/>
              <w:bottom w:val="single" w:sz="8" w:color="CCEEFF"/>
            </w:tcBorders>
            <w:gridSpan w:val="3"/>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68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60" w:type="dxa"/>
            <w:vAlign w:val="bottom"/>
            <w:tcBorders>
              <w:top w:val="single" w:sz="8" w:color="CCEEFF"/>
              <w:bottom w:val="single" w:sz="8" w:color="CCEEFF"/>
            </w:tcBorders>
            <w:vMerge w:val="restart"/>
          </w:tcPr>
          <w:p>
            <w:pPr>
              <w:spacing w:after="0"/>
              <w:rPr>
                <w:sz w:val="12"/>
                <w:szCs w:val="12"/>
                <w:color w:val="auto"/>
              </w:rPr>
            </w:pPr>
          </w:p>
        </w:tc>
        <w:tc>
          <w:tcPr>
            <w:tcW w:w="16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460" w:type="dxa"/>
            <w:vAlign w:val="bottom"/>
            <w:tcBorders>
              <w:bottom w:val="single" w:sz="8" w:color="0000EE"/>
            </w:tcBorders>
            <w:gridSpan w:val="1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0380" w:type="dxa"/>
            <w:vAlign w:val="bottom"/>
            <w:gridSpan w:val="40"/>
            <w:shd w:val="clear" w:color="auto" w:fill="CCEEFF"/>
          </w:tcPr>
          <w:p>
            <w:pPr>
              <w:spacing w:after="0" w:line="216" w:lineRule="exact"/>
              <w:rPr>
                <w:rFonts w:ascii="Arial" w:cs="Arial" w:eastAsia="Arial" w:hAnsi="Arial"/>
                <w:sz w:val="16"/>
                <w:szCs w:val="16"/>
                <w:color w:val="0000EE"/>
              </w:rPr>
            </w:pPr>
            <w:hyperlink r:id="rId35">
              <w:r>
                <w:rPr>
                  <w:rFonts w:ascii="Arial" w:cs="Arial" w:eastAsia="Arial" w:hAnsi="Arial"/>
                  <w:sz w:val="16"/>
                  <w:szCs w:val="16"/>
                  <w:color w:val="0000EE"/>
                </w:rPr>
                <w:t>Certificate of Designation, filed on September 5, 2008 with the Secretary of State of the State of Nevada by the Company</w:t>
              </w:r>
            </w:hyperlink>
            <w:r>
              <w:rPr>
                <w:rFonts w:ascii="Arial" w:cs="Arial" w:eastAsia="Arial" w:hAnsi="Arial"/>
                <w:sz w:val="25"/>
                <w:szCs w:val="25"/>
                <w:color w:val="000000"/>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tcPr>
          <w:p>
            <w:pPr>
              <w:spacing w:after="0"/>
              <w:rPr>
                <w:sz w:val="12"/>
                <w:szCs w:val="12"/>
                <w:color w:val="auto"/>
              </w:rPr>
            </w:pPr>
          </w:p>
        </w:tc>
        <w:tc>
          <w:tcPr>
            <w:tcW w:w="8320" w:type="dxa"/>
            <w:vAlign w:val="bottom"/>
            <w:tcBorders>
              <w:top w:val="single" w:sz="8" w:color="0000EE"/>
              <w:bottom w:val="single" w:sz="8" w:color="0000EE"/>
            </w:tcBorders>
            <w:gridSpan w:val="37"/>
            <w:vMerge w:val="restart"/>
          </w:tcPr>
          <w:p>
            <w:pPr>
              <w:spacing w:after="0"/>
              <w:rPr>
                <w:rFonts w:ascii="Arial" w:cs="Arial" w:eastAsia="Arial" w:hAnsi="Arial"/>
                <w:sz w:val="18"/>
                <w:szCs w:val="18"/>
                <w:color w:val="0000EE"/>
                <w:w w:val="90"/>
              </w:rPr>
            </w:pPr>
            <w:hyperlink r:id="rId36">
              <w:r>
                <w:rPr>
                  <w:rFonts w:ascii="Arial" w:cs="Arial" w:eastAsia="Arial" w:hAnsi="Arial"/>
                  <w:sz w:val="18"/>
                  <w:szCs w:val="18"/>
                  <w:color w:val="0000EE"/>
                  <w:w w:val="90"/>
                </w:rPr>
                <w:t>Certificate of Designation, filed on June 3, 2010 with the Secretary of State of the State of Nevada by the Company</w:t>
              </w:r>
            </w:hyperlink>
          </w:p>
        </w:tc>
        <w:tc>
          <w:tcPr>
            <w:tcW w:w="80" w:type="dxa"/>
            <w:vAlign w:val="bottom"/>
            <w:tcBorders>
              <w:top w:val="single" w:sz="8" w:color="0000EE"/>
              <w:bottom w:val="single" w:sz="8" w:color="0000EE"/>
            </w:tcBorders>
          </w:tcPr>
          <w:p>
            <w:pPr>
              <w:jc w:val="right"/>
              <w:spacing w:after="0" w:line="129" w:lineRule="exact"/>
              <w:rPr>
                <w:rFonts w:ascii="Arial" w:cs="Arial" w:eastAsia="Arial" w:hAnsi="Arial"/>
                <w:sz w:val="14"/>
                <w:szCs w:val="14"/>
                <w:color w:val="0000EE"/>
                <w:w w:val="76"/>
              </w:rPr>
            </w:pPr>
            <w:hyperlink r:id="rId36">
              <w:r>
                <w:rPr>
                  <w:rFonts w:ascii="Arial" w:cs="Arial" w:eastAsia="Arial" w:hAnsi="Arial"/>
                  <w:sz w:val="14"/>
                  <w:szCs w:val="14"/>
                  <w:color w:val="0000EE"/>
                  <w:w w:val="76"/>
                </w:rPr>
                <w:t>3</w:t>
              </w:r>
            </w:hyperlink>
          </w:p>
        </w:tc>
        <w:tc>
          <w:tcPr>
            <w:tcW w:w="360" w:type="dxa"/>
            <w:vAlign w:val="bottom"/>
            <w:tcBorders>
              <w:top w:val="single" w:sz="8" w:color="0000EE"/>
              <w:bottom w:val="single" w:sz="8" w:color="0000EE"/>
            </w:tcBorders>
            <w:vMerge w:val="restart"/>
          </w:tcPr>
          <w:p>
            <w:pPr>
              <w:spacing w:after="0"/>
              <w:rPr>
                <w:sz w:val="12"/>
                <w:szCs w:val="12"/>
                <w:color w:val="auto"/>
              </w:rPr>
            </w:pPr>
          </w:p>
        </w:tc>
        <w:tc>
          <w:tcPr>
            <w:tcW w:w="16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320" w:type="dxa"/>
            <w:vAlign w:val="bottom"/>
            <w:tcBorders>
              <w:bottom w:val="single" w:sz="8" w:color="0000EE"/>
            </w:tcBorders>
            <w:gridSpan w:val="37"/>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2"/>
                <w:szCs w:val="12"/>
                <w:color w:val="auto"/>
              </w:rPr>
            </w:pPr>
          </w:p>
        </w:tc>
        <w:tc>
          <w:tcPr>
            <w:tcW w:w="3840" w:type="dxa"/>
            <w:vAlign w:val="bottom"/>
            <w:tcBorders>
              <w:bottom w:val="single" w:sz="8" w:color="CCEEFF"/>
            </w:tcBorders>
            <w:gridSpan w:val="20"/>
            <w:vMerge w:val="restart"/>
            <w:shd w:val="clear" w:color="auto" w:fill="CCEEFF"/>
          </w:tcPr>
          <w:p>
            <w:pPr>
              <w:spacing w:after="0"/>
              <w:rPr>
                <w:rFonts w:ascii="Arial" w:cs="Arial" w:eastAsia="Arial" w:hAnsi="Arial"/>
                <w:sz w:val="18"/>
                <w:szCs w:val="18"/>
                <w:color w:val="0000EE"/>
                <w:w w:val="92"/>
              </w:rPr>
            </w:pPr>
            <w:hyperlink r:id="rId37">
              <w:r>
                <w:rPr>
                  <w:rFonts w:ascii="Arial" w:cs="Arial" w:eastAsia="Arial" w:hAnsi="Arial"/>
                  <w:sz w:val="18"/>
                  <w:szCs w:val="18"/>
                  <w:color w:val="0000EE"/>
                  <w:w w:val="92"/>
                </w:rPr>
                <w:t>Opinion of The Doney Law firm with Consent to use</w:t>
              </w:r>
            </w:hyperlink>
          </w:p>
        </w:tc>
        <w:tc>
          <w:tcPr>
            <w:tcW w:w="140" w:type="dxa"/>
            <w:vAlign w:val="bottom"/>
            <w:tcBorders>
              <w:bottom w:val="single" w:sz="8" w:color="0000EE"/>
            </w:tcBorders>
            <w:gridSpan w:val="4"/>
            <w:shd w:val="clear" w:color="auto" w:fill="CCEEFF"/>
          </w:tcPr>
          <w:p>
            <w:pPr>
              <w:jc w:val="right"/>
              <w:spacing w:after="0" w:line="129" w:lineRule="exact"/>
              <w:rPr>
                <w:rFonts w:ascii="Arial" w:cs="Arial" w:eastAsia="Arial" w:hAnsi="Arial"/>
                <w:sz w:val="14"/>
                <w:szCs w:val="14"/>
                <w:color w:val="0000EE"/>
                <w:w w:val="76"/>
              </w:rPr>
            </w:pPr>
            <w:hyperlink r:id="rId37">
              <w:r>
                <w:rPr>
                  <w:rFonts w:ascii="Arial" w:cs="Arial" w:eastAsia="Arial" w:hAnsi="Arial"/>
                  <w:sz w:val="14"/>
                  <w:szCs w:val="14"/>
                  <w:color w:val="0000EE"/>
                  <w:w w:val="76"/>
                </w:rPr>
                <w:t>11</w:t>
              </w:r>
            </w:hyperlink>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120" w:type="dxa"/>
            <w:vAlign w:val="bottom"/>
            <w:tcBorders>
              <w:bottom w:val="single" w:sz="8" w:color="CCEEFF"/>
            </w:tcBorders>
            <w:gridSpan w:val="3"/>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gridSpan w:val="4"/>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40" w:type="dxa"/>
            <w:vAlign w:val="bottom"/>
            <w:tcBorders>
              <w:bottom w:val="single" w:sz="8" w:color="0000EE"/>
            </w:tcBorders>
            <w:gridSpan w:val="20"/>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120" w:type="dxa"/>
            <w:vAlign w:val="bottom"/>
            <w:tcBorders>
              <w:bottom w:val="single" w:sz="8" w:color="CCEEFF"/>
            </w:tcBorders>
            <w:gridSpan w:val="3"/>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tcPr>
          <w:p>
            <w:pPr>
              <w:spacing w:after="0"/>
              <w:rPr>
                <w:sz w:val="12"/>
                <w:szCs w:val="12"/>
                <w:color w:val="auto"/>
              </w:rPr>
            </w:pPr>
          </w:p>
        </w:tc>
        <w:tc>
          <w:tcPr>
            <w:tcW w:w="2260" w:type="dxa"/>
            <w:vAlign w:val="bottom"/>
            <w:tcBorders>
              <w:top w:val="single" w:sz="8" w:color="CCEEFF"/>
              <w:bottom w:val="single" w:sz="8" w:color="CCEEFF"/>
            </w:tcBorders>
            <w:gridSpan w:val="7"/>
            <w:vMerge w:val="restart"/>
          </w:tcPr>
          <w:p>
            <w:pPr>
              <w:spacing w:after="0"/>
              <w:rPr>
                <w:rFonts w:ascii="Arial" w:cs="Arial" w:eastAsia="Arial" w:hAnsi="Arial"/>
                <w:sz w:val="18"/>
                <w:szCs w:val="18"/>
                <w:color w:val="0000EE"/>
                <w:w w:val="88"/>
              </w:rPr>
            </w:pPr>
            <w:hyperlink r:id="rId38">
              <w:r>
                <w:rPr>
                  <w:rFonts w:ascii="Arial" w:cs="Arial" w:eastAsia="Arial" w:hAnsi="Arial"/>
                  <w:sz w:val="18"/>
                  <w:szCs w:val="18"/>
                  <w:color w:val="0000EE"/>
                  <w:w w:val="88"/>
                </w:rPr>
                <w:t>Securities Purchase Agreement</w:t>
              </w:r>
            </w:hyperlink>
          </w:p>
        </w:tc>
        <w:tc>
          <w:tcPr>
            <w:tcW w:w="8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76"/>
              </w:rPr>
            </w:pPr>
            <w:hyperlink r:id="rId38">
              <w:r>
                <w:rPr>
                  <w:rFonts w:ascii="Arial" w:cs="Arial" w:eastAsia="Arial" w:hAnsi="Arial"/>
                  <w:sz w:val="14"/>
                  <w:szCs w:val="14"/>
                  <w:color w:val="0000EE"/>
                  <w:w w:val="76"/>
                </w:rPr>
                <w:t>5</w:t>
              </w:r>
            </w:hyperlink>
          </w:p>
        </w:tc>
        <w:tc>
          <w:tcPr>
            <w:tcW w:w="6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gridSpan w:val="3"/>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20" w:type="dxa"/>
            <w:vAlign w:val="bottom"/>
            <w:tcBorders>
              <w:top w:val="single" w:sz="8" w:color="CCEEFF"/>
              <w:bottom w:val="single" w:sz="8" w:color="CCEEFF"/>
            </w:tcBorders>
            <w:gridSpan w:val="2"/>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gridSpan w:val="2"/>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120" w:type="dxa"/>
            <w:vAlign w:val="bottom"/>
            <w:tcBorders>
              <w:top w:val="single" w:sz="8" w:color="CCEEFF"/>
              <w:bottom w:val="single" w:sz="8" w:color="CCEEFF"/>
            </w:tcBorders>
            <w:gridSpan w:val="3"/>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Borders>
              <w:bottom w:val="single" w:sz="8" w:color="0000EE"/>
            </w:tcBorders>
            <w:gridSpan w:val="7"/>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00" w:type="dxa"/>
            <w:vAlign w:val="bottom"/>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12"/>
                <w:szCs w:val="12"/>
                <w:color w:val="auto"/>
              </w:rPr>
            </w:pPr>
          </w:p>
        </w:tc>
        <w:tc>
          <w:tcPr>
            <w:tcW w:w="2240" w:type="dxa"/>
            <w:vAlign w:val="bottom"/>
            <w:tcBorders>
              <w:bottom w:val="single" w:sz="8" w:color="CCEEFF"/>
            </w:tcBorders>
            <w:gridSpan w:val="6"/>
            <w:vMerge w:val="restart"/>
            <w:shd w:val="clear" w:color="auto" w:fill="CCEEFF"/>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Registration Rights Agreement</w:t>
              </w:r>
            </w:hyperlink>
          </w:p>
        </w:tc>
        <w:tc>
          <w:tcPr>
            <w:tcW w:w="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76"/>
              </w:rPr>
            </w:pPr>
            <w:hyperlink r:id="rId39">
              <w:r>
                <w:rPr>
                  <w:rFonts w:ascii="Arial" w:cs="Arial" w:eastAsia="Arial" w:hAnsi="Arial"/>
                  <w:sz w:val="14"/>
                  <w:szCs w:val="14"/>
                  <w:color w:val="0000EE"/>
                  <w:w w:val="76"/>
                </w:rPr>
                <w:t>5</w:t>
              </w:r>
            </w:hyperlink>
          </w:p>
        </w:tc>
        <w:tc>
          <w:tcPr>
            <w:tcW w:w="62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gridSpan w:val="3"/>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gridSpan w:val="2"/>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gridSpan w:val="2"/>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120" w:type="dxa"/>
            <w:vAlign w:val="bottom"/>
            <w:tcBorders>
              <w:bottom w:val="single" w:sz="8" w:color="CCEEFF"/>
            </w:tcBorders>
            <w:gridSpan w:val="3"/>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gridSpan w:val="4"/>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40" w:type="dxa"/>
            <w:vAlign w:val="bottom"/>
            <w:tcBorders>
              <w:bottom w:val="single" w:sz="8" w:color="0000EE"/>
            </w:tcBorders>
            <w:gridSpan w:val="6"/>
            <w:vMerge w:val="continue"/>
            <w:shd w:val="clear" w:color="auto" w:fill="CCEEFF"/>
          </w:tcPr>
          <w:p>
            <w:pPr>
              <w:spacing w:after="0"/>
              <w:rPr>
                <w:sz w:val="5"/>
                <w:szCs w:val="5"/>
                <w:color w:val="auto"/>
              </w:rPr>
            </w:pPr>
          </w:p>
        </w:tc>
        <w:tc>
          <w:tcPr>
            <w:tcW w:w="80" w:type="dxa"/>
            <w:vAlign w:val="bottom"/>
            <w:tcBorders>
              <w:bottom w:val="single" w:sz="8" w:color="CCEEFF"/>
            </w:tcBorders>
            <w:gridSpan w:val="2"/>
            <w:shd w:val="clear" w:color="auto" w:fill="CCEEFF"/>
          </w:tcPr>
          <w:p>
            <w:pPr>
              <w:spacing w:after="0"/>
              <w:rPr>
                <w:sz w:val="5"/>
                <w:szCs w:val="5"/>
                <w:color w:val="auto"/>
              </w:rPr>
            </w:pPr>
          </w:p>
        </w:tc>
        <w:tc>
          <w:tcPr>
            <w:tcW w:w="620" w:type="dxa"/>
            <w:vAlign w:val="bottom"/>
            <w:tcBorders>
              <w:bottom w:val="single" w:sz="8" w:color="CCEEFF"/>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gridSpan w:val="3"/>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gridSpan w:val="2"/>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120" w:type="dxa"/>
            <w:vAlign w:val="bottom"/>
            <w:tcBorders>
              <w:bottom w:val="single" w:sz="8" w:color="CCEEFF"/>
            </w:tcBorders>
            <w:gridSpan w:val="3"/>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tcPr>
          <w:p>
            <w:pPr>
              <w:spacing w:after="0"/>
              <w:rPr>
                <w:sz w:val="12"/>
                <w:szCs w:val="12"/>
                <w:color w:val="auto"/>
              </w:rPr>
            </w:pPr>
          </w:p>
        </w:tc>
        <w:tc>
          <w:tcPr>
            <w:tcW w:w="1440" w:type="dxa"/>
            <w:vAlign w:val="bottom"/>
            <w:tcBorders>
              <w:top w:val="single" w:sz="8" w:color="CCEEFF"/>
              <w:bottom w:val="single" w:sz="8" w:color="CCEEFF"/>
            </w:tcBorders>
            <w:gridSpan w:val="2"/>
            <w:vMerge w:val="restart"/>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Investor Agreement</w:t>
              </w:r>
            </w:hyperlink>
          </w:p>
        </w:tc>
        <w:tc>
          <w:tcPr>
            <w:tcW w:w="8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76"/>
              </w:rPr>
            </w:pPr>
            <w:hyperlink r:id="rId40">
              <w:r>
                <w:rPr>
                  <w:rFonts w:ascii="Arial" w:cs="Arial" w:eastAsia="Arial" w:hAnsi="Arial"/>
                  <w:sz w:val="14"/>
                  <w:szCs w:val="14"/>
                  <w:color w:val="0000EE"/>
                  <w:w w:val="76"/>
                </w:rPr>
                <w:t>5</w:t>
              </w:r>
            </w:hyperlink>
          </w:p>
        </w:tc>
        <w:tc>
          <w:tcPr>
            <w:tcW w:w="60" w:type="dxa"/>
            <w:vAlign w:val="bottom"/>
            <w:tcBorders>
              <w:top w:val="single" w:sz="8" w:color="CCEEFF"/>
              <w:bottom w:val="single" w:sz="8" w:color="CCEEFF"/>
            </w:tcBorders>
            <w:vMerge w:val="restart"/>
          </w:tcPr>
          <w:p>
            <w:pPr>
              <w:spacing w:after="0"/>
              <w:rPr>
                <w:sz w:val="12"/>
                <w:szCs w:val="12"/>
                <w:color w:val="auto"/>
              </w:rPr>
            </w:pPr>
          </w:p>
        </w:tc>
        <w:tc>
          <w:tcPr>
            <w:tcW w:w="740" w:type="dxa"/>
            <w:vAlign w:val="bottom"/>
            <w:tcBorders>
              <w:top w:val="single" w:sz="8" w:color="CCEEFF"/>
              <w:bottom w:val="single" w:sz="8" w:color="CCEEFF"/>
            </w:tcBorders>
            <w:gridSpan w:val="3"/>
            <w:vMerge w:val="restart"/>
          </w:tcPr>
          <w:p>
            <w:pPr>
              <w:spacing w:after="0"/>
              <w:rPr>
                <w:sz w:val="12"/>
                <w:szCs w:val="12"/>
                <w:color w:val="auto"/>
              </w:rPr>
            </w:pPr>
          </w:p>
        </w:tc>
        <w:tc>
          <w:tcPr>
            <w:tcW w:w="620" w:type="dxa"/>
            <w:vAlign w:val="bottom"/>
            <w:tcBorders>
              <w:top w:val="single" w:sz="8" w:color="CCEEFF"/>
              <w:bottom w:val="single" w:sz="8" w:color="CCEEFF"/>
            </w:tcBorders>
            <w:gridSpan w:val="2"/>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gridSpan w:val="3"/>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20" w:type="dxa"/>
            <w:vAlign w:val="bottom"/>
            <w:tcBorders>
              <w:top w:val="single" w:sz="8" w:color="CCEEFF"/>
              <w:bottom w:val="single" w:sz="8" w:color="CCEEFF"/>
            </w:tcBorders>
            <w:gridSpan w:val="2"/>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gridSpan w:val="2"/>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120" w:type="dxa"/>
            <w:vAlign w:val="bottom"/>
            <w:tcBorders>
              <w:top w:val="single" w:sz="8" w:color="CCEEFF"/>
              <w:bottom w:val="single" w:sz="8" w:color="CCEEFF"/>
            </w:tcBorders>
            <w:gridSpan w:val="3"/>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Borders>
              <w:bottom w:val="single" w:sz="8" w:color="0000EE"/>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00" w:type="dxa"/>
            <w:vAlign w:val="bottom"/>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vMerge w:val="restart"/>
            <w:shd w:val="clear" w:color="auto" w:fill="CCEEFF"/>
          </w:tcPr>
          <w:p>
            <w:pPr>
              <w:spacing w:after="0"/>
              <w:rPr>
                <w:rFonts w:ascii="Arial" w:cs="Arial" w:eastAsia="Arial" w:hAnsi="Arial"/>
                <w:sz w:val="18"/>
                <w:szCs w:val="18"/>
                <w:color w:val="0000EE"/>
                <w:w w:val="89"/>
              </w:rPr>
            </w:pPr>
            <w:hyperlink r:id="rId41">
              <w:r>
                <w:rPr>
                  <w:rFonts w:ascii="Arial" w:cs="Arial" w:eastAsia="Arial" w:hAnsi="Arial"/>
                  <w:sz w:val="18"/>
                  <w:szCs w:val="18"/>
                  <w:color w:val="0000EE"/>
                  <w:w w:val="89"/>
                </w:rPr>
                <w:t>Warrant Agreement</w:t>
              </w:r>
            </w:hyperlink>
          </w:p>
        </w:tc>
        <w:tc>
          <w:tcPr>
            <w:tcW w:w="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76"/>
              </w:rPr>
            </w:pPr>
            <w:hyperlink r:id="rId41">
              <w:r>
                <w:rPr>
                  <w:rFonts w:ascii="Arial" w:cs="Arial" w:eastAsia="Arial" w:hAnsi="Arial"/>
                  <w:sz w:val="14"/>
                  <w:szCs w:val="14"/>
                  <w:color w:val="0000EE"/>
                  <w:w w:val="76"/>
                </w:rPr>
                <w:t>6</w:t>
              </w:r>
            </w:hyperlink>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740" w:type="dxa"/>
            <w:vAlign w:val="bottom"/>
            <w:tcBorders>
              <w:bottom w:val="single" w:sz="8" w:color="CCEEFF"/>
            </w:tcBorders>
            <w:gridSpan w:val="3"/>
            <w:vMerge w:val="restart"/>
            <w:shd w:val="clear" w:color="auto" w:fill="CCEEFF"/>
          </w:tcPr>
          <w:p>
            <w:pPr>
              <w:spacing w:after="0"/>
              <w:rPr>
                <w:sz w:val="12"/>
                <w:szCs w:val="12"/>
                <w:color w:val="auto"/>
              </w:rPr>
            </w:pPr>
          </w:p>
        </w:tc>
        <w:tc>
          <w:tcPr>
            <w:tcW w:w="62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gridSpan w:val="3"/>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gridSpan w:val="2"/>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gridSpan w:val="2"/>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120" w:type="dxa"/>
            <w:vAlign w:val="bottom"/>
            <w:tcBorders>
              <w:bottom w:val="single" w:sz="8" w:color="CCEEFF"/>
            </w:tcBorders>
            <w:gridSpan w:val="3"/>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gridSpan w:val="4"/>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0000EE"/>
            </w:tcBorders>
            <w:vMerge w:val="continue"/>
            <w:shd w:val="clear" w:color="auto" w:fill="CCEEFF"/>
          </w:tcPr>
          <w:p>
            <w:pPr>
              <w:spacing w:after="0"/>
              <w:rPr>
                <w:sz w:val="5"/>
                <w:szCs w:val="5"/>
                <w:color w:val="auto"/>
              </w:rPr>
            </w:pPr>
          </w:p>
        </w:tc>
        <w:tc>
          <w:tcPr>
            <w:tcW w:w="80" w:type="dxa"/>
            <w:vAlign w:val="bottom"/>
            <w:tcBorders>
              <w:bottom w:val="single" w:sz="8" w:color="CCEEFF"/>
            </w:tcBorders>
            <w:gridSpan w:val="2"/>
            <w:shd w:val="clear" w:color="auto" w:fill="CCEEFF"/>
          </w:tcPr>
          <w:p>
            <w:pPr>
              <w:spacing w:after="0"/>
              <w:rPr>
                <w:sz w:val="5"/>
                <w:szCs w:val="5"/>
                <w:color w:val="auto"/>
              </w:rPr>
            </w:pPr>
          </w:p>
        </w:tc>
        <w:tc>
          <w:tcPr>
            <w:tcW w:w="80" w:type="dxa"/>
            <w:vAlign w:val="bottom"/>
            <w:tcBorders>
              <w:bottom w:val="single" w:sz="8" w:color="CCEEFF"/>
            </w:tcBorders>
            <w:gridSpan w:val="2"/>
            <w:vMerge w:val="continue"/>
            <w:shd w:val="clear" w:color="auto" w:fill="CCEEFF"/>
          </w:tcPr>
          <w:p>
            <w:pPr>
              <w:spacing w:after="0"/>
              <w:rPr>
                <w:sz w:val="5"/>
                <w:szCs w:val="5"/>
                <w:color w:val="auto"/>
              </w:rPr>
            </w:pPr>
          </w:p>
        </w:tc>
        <w:tc>
          <w:tcPr>
            <w:tcW w:w="740" w:type="dxa"/>
            <w:vAlign w:val="bottom"/>
            <w:tcBorders>
              <w:bottom w:val="single" w:sz="8" w:color="CCEEFF"/>
            </w:tcBorders>
            <w:gridSpan w:val="3"/>
            <w:vMerge w:val="continue"/>
            <w:shd w:val="clear" w:color="auto" w:fill="CCEEFF"/>
          </w:tcPr>
          <w:p>
            <w:pPr>
              <w:spacing w:after="0"/>
              <w:rPr>
                <w:sz w:val="5"/>
                <w:szCs w:val="5"/>
                <w:color w:val="auto"/>
              </w:rPr>
            </w:pPr>
          </w:p>
        </w:tc>
        <w:tc>
          <w:tcPr>
            <w:tcW w:w="620" w:type="dxa"/>
            <w:vAlign w:val="bottom"/>
            <w:tcBorders>
              <w:bottom w:val="single" w:sz="8" w:color="CCEEFF"/>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gridSpan w:val="3"/>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gridSpan w:val="2"/>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120" w:type="dxa"/>
            <w:vAlign w:val="bottom"/>
            <w:tcBorders>
              <w:bottom w:val="single" w:sz="8" w:color="CCEEFF"/>
            </w:tcBorders>
            <w:gridSpan w:val="3"/>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tcPr>
          <w:p>
            <w:pPr>
              <w:spacing w:after="0"/>
              <w:rPr>
                <w:sz w:val="12"/>
                <w:szCs w:val="12"/>
                <w:color w:val="auto"/>
              </w:rPr>
            </w:pPr>
          </w:p>
        </w:tc>
        <w:tc>
          <w:tcPr>
            <w:tcW w:w="1420" w:type="dxa"/>
            <w:vAlign w:val="bottom"/>
            <w:tcBorders>
              <w:top w:val="single" w:sz="8" w:color="CCEEFF"/>
              <w:bottom w:val="single" w:sz="8" w:color="CCEEFF"/>
            </w:tcBorders>
            <w:vMerge w:val="restart"/>
          </w:tcPr>
          <w:p>
            <w:pPr>
              <w:spacing w:after="0"/>
              <w:rPr>
                <w:rFonts w:ascii="Arial" w:cs="Arial" w:eastAsia="Arial" w:hAnsi="Arial"/>
                <w:sz w:val="18"/>
                <w:szCs w:val="18"/>
                <w:color w:val="0000EE"/>
                <w:w w:val="89"/>
              </w:rPr>
            </w:pPr>
            <w:hyperlink r:id="rId42">
              <w:r>
                <w:rPr>
                  <w:rFonts w:ascii="Arial" w:cs="Arial" w:eastAsia="Arial" w:hAnsi="Arial"/>
                  <w:sz w:val="18"/>
                  <w:szCs w:val="18"/>
                  <w:color w:val="0000EE"/>
                  <w:w w:val="89"/>
                </w:rPr>
                <w:t>Warrant Agreement</w:t>
              </w:r>
            </w:hyperlink>
          </w:p>
        </w:tc>
        <w:tc>
          <w:tcPr>
            <w:tcW w:w="8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76"/>
              </w:rPr>
            </w:pPr>
            <w:hyperlink r:id="rId42">
              <w:r>
                <w:rPr>
                  <w:rFonts w:ascii="Arial" w:cs="Arial" w:eastAsia="Arial" w:hAnsi="Arial"/>
                  <w:sz w:val="14"/>
                  <w:szCs w:val="14"/>
                  <w:color w:val="0000EE"/>
                  <w:w w:val="76"/>
                </w:rPr>
                <w:t>6</w:t>
              </w:r>
            </w:hyperlink>
          </w:p>
        </w:tc>
        <w:tc>
          <w:tcPr>
            <w:tcW w:w="80" w:type="dxa"/>
            <w:vAlign w:val="bottom"/>
            <w:tcBorders>
              <w:top w:val="single" w:sz="8" w:color="CCEEFF"/>
              <w:bottom w:val="single" w:sz="8" w:color="CCEEFF"/>
            </w:tcBorders>
            <w:gridSpan w:val="2"/>
            <w:vMerge w:val="restart"/>
          </w:tcPr>
          <w:p>
            <w:pPr>
              <w:spacing w:after="0"/>
              <w:rPr>
                <w:sz w:val="12"/>
                <w:szCs w:val="12"/>
                <w:color w:val="auto"/>
              </w:rPr>
            </w:pPr>
          </w:p>
        </w:tc>
        <w:tc>
          <w:tcPr>
            <w:tcW w:w="740" w:type="dxa"/>
            <w:vAlign w:val="bottom"/>
            <w:tcBorders>
              <w:top w:val="single" w:sz="8" w:color="CCEEFF"/>
              <w:bottom w:val="single" w:sz="8" w:color="CCEEFF"/>
            </w:tcBorders>
            <w:gridSpan w:val="3"/>
            <w:vMerge w:val="restart"/>
          </w:tcPr>
          <w:p>
            <w:pPr>
              <w:spacing w:after="0"/>
              <w:rPr>
                <w:sz w:val="12"/>
                <w:szCs w:val="12"/>
                <w:color w:val="auto"/>
              </w:rPr>
            </w:pPr>
          </w:p>
        </w:tc>
        <w:tc>
          <w:tcPr>
            <w:tcW w:w="620" w:type="dxa"/>
            <w:vAlign w:val="bottom"/>
            <w:tcBorders>
              <w:top w:val="single" w:sz="8" w:color="CCEEFF"/>
              <w:bottom w:val="single" w:sz="8" w:color="CCEEFF"/>
            </w:tcBorders>
            <w:gridSpan w:val="2"/>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gridSpan w:val="3"/>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20" w:type="dxa"/>
            <w:vAlign w:val="bottom"/>
            <w:tcBorders>
              <w:top w:val="single" w:sz="8" w:color="CCEEFF"/>
              <w:bottom w:val="single" w:sz="8" w:color="CCEEFF"/>
            </w:tcBorders>
            <w:gridSpan w:val="2"/>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gridSpan w:val="2"/>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120" w:type="dxa"/>
            <w:vAlign w:val="bottom"/>
            <w:tcBorders>
              <w:top w:val="single" w:sz="8" w:color="CCEEFF"/>
              <w:bottom w:val="single" w:sz="8" w:color="CCEEFF"/>
            </w:tcBorders>
            <w:gridSpan w:val="3"/>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Borders>
              <w:bottom w:val="single" w:sz="8" w:color="0000EE"/>
            </w:tcBorders>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00" w:type="dxa"/>
            <w:vAlign w:val="bottom"/>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12"/>
                <w:szCs w:val="12"/>
                <w:color w:val="auto"/>
              </w:rPr>
            </w:pPr>
          </w:p>
        </w:tc>
        <w:tc>
          <w:tcPr>
            <w:tcW w:w="3920" w:type="dxa"/>
            <w:vAlign w:val="bottom"/>
            <w:tcBorders>
              <w:bottom w:val="single" w:sz="8" w:color="CCEEFF"/>
            </w:tcBorders>
            <w:gridSpan w:val="22"/>
            <w:vMerge w:val="restart"/>
            <w:shd w:val="clear" w:color="auto" w:fill="CCEEFF"/>
          </w:tcPr>
          <w:p>
            <w:pPr>
              <w:spacing w:after="0"/>
              <w:rPr>
                <w:rFonts w:ascii="Arial" w:cs="Arial" w:eastAsia="Arial" w:hAnsi="Arial"/>
                <w:sz w:val="18"/>
                <w:szCs w:val="18"/>
                <w:color w:val="0000EE"/>
                <w:w w:val="88"/>
              </w:rPr>
            </w:pPr>
            <w:hyperlink r:id="rId43">
              <w:r>
                <w:rPr>
                  <w:rFonts w:ascii="Arial" w:cs="Arial" w:eastAsia="Arial" w:hAnsi="Arial"/>
                  <w:sz w:val="18"/>
                  <w:szCs w:val="18"/>
                  <w:color w:val="0000EE"/>
                  <w:w w:val="88"/>
                </w:rPr>
                <w:t>Stock Purchase Agreement, dated September 24, 2015</w:t>
              </w:r>
            </w:hyperlink>
          </w:p>
        </w:tc>
        <w:tc>
          <w:tcPr>
            <w:tcW w:w="80" w:type="dxa"/>
            <w:vAlign w:val="bottom"/>
            <w:tcBorders>
              <w:bottom w:val="single" w:sz="8" w:color="0000EE"/>
            </w:tcBorders>
            <w:gridSpan w:val="3"/>
            <w:shd w:val="clear" w:color="auto" w:fill="CCEEFF"/>
          </w:tcPr>
          <w:p>
            <w:pPr>
              <w:jc w:val="right"/>
              <w:spacing w:after="0" w:line="129" w:lineRule="exact"/>
              <w:rPr>
                <w:rFonts w:ascii="Arial" w:cs="Arial" w:eastAsia="Arial" w:hAnsi="Arial"/>
                <w:sz w:val="14"/>
                <w:szCs w:val="14"/>
                <w:color w:val="0000EE"/>
                <w:w w:val="76"/>
              </w:rPr>
            </w:pPr>
            <w:hyperlink r:id="rId43">
              <w:r>
                <w:rPr>
                  <w:rFonts w:ascii="Arial" w:cs="Arial" w:eastAsia="Arial" w:hAnsi="Arial"/>
                  <w:sz w:val="14"/>
                  <w:szCs w:val="14"/>
                  <w:color w:val="0000EE"/>
                  <w:w w:val="76"/>
                </w:rPr>
                <w:t>7</w:t>
              </w:r>
            </w:hyperlink>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120" w:type="dxa"/>
            <w:vAlign w:val="bottom"/>
            <w:tcBorders>
              <w:bottom w:val="single" w:sz="8" w:color="CCEEFF"/>
            </w:tcBorders>
            <w:gridSpan w:val="3"/>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gridSpan w:val="4"/>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920" w:type="dxa"/>
            <w:vAlign w:val="bottom"/>
            <w:tcBorders>
              <w:bottom w:val="single" w:sz="8" w:color="0000EE"/>
            </w:tcBorders>
            <w:gridSpan w:val="22"/>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gridSpan w:val="2"/>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120" w:type="dxa"/>
            <w:vAlign w:val="bottom"/>
            <w:tcBorders>
              <w:bottom w:val="single" w:sz="8" w:color="CCEEFF"/>
            </w:tcBorders>
            <w:gridSpan w:val="3"/>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tcPr>
          <w:p>
            <w:pPr>
              <w:spacing w:after="0"/>
              <w:rPr>
                <w:sz w:val="12"/>
                <w:szCs w:val="12"/>
                <w:color w:val="auto"/>
              </w:rPr>
            </w:pPr>
          </w:p>
        </w:tc>
        <w:tc>
          <w:tcPr>
            <w:tcW w:w="3940" w:type="dxa"/>
            <w:vAlign w:val="bottom"/>
            <w:tcBorders>
              <w:top w:val="single" w:sz="8" w:color="CCEEFF"/>
              <w:bottom w:val="single" w:sz="8" w:color="CCEEFF"/>
            </w:tcBorders>
            <w:gridSpan w:val="23"/>
            <w:vMerge w:val="restart"/>
          </w:tcPr>
          <w:p>
            <w:pPr>
              <w:spacing w:after="0"/>
              <w:rPr>
                <w:rFonts w:ascii="Arial" w:cs="Arial" w:eastAsia="Arial" w:hAnsi="Arial"/>
                <w:sz w:val="18"/>
                <w:szCs w:val="18"/>
                <w:color w:val="0000EE"/>
                <w:w w:val="89"/>
              </w:rPr>
            </w:pPr>
            <w:hyperlink r:id="rId44">
              <w:r>
                <w:rPr>
                  <w:rFonts w:ascii="Arial" w:cs="Arial" w:eastAsia="Arial" w:hAnsi="Arial"/>
                  <w:sz w:val="18"/>
                  <w:szCs w:val="18"/>
                  <w:color w:val="0000EE"/>
                  <w:w w:val="89"/>
                </w:rPr>
                <w:t>Investor Rights Agreement, dated September 24, 2015</w:t>
              </w:r>
            </w:hyperlink>
          </w:p>
        </w:tc>
        <w:tc>
          <w:tcPr>
            <w:tcW w:w="80" w:type="dxa"/>
            <w:vAlign w:val="bottom"/>
            <w:tcBorders>
              <w:top w:val="single" w:sz="8" w:color="CCEEFF"/>
              <w:bottom w:val="single" w:sz="8" w:color="0000EE"/>
            </w:tcBorders>
            <w:gridSpan w:val="3"/>
          </w:tcPr>
          <w:p>
            <w:pPr>
              <w:jc w:val="right"/>
              <w:ind w:right="20"/>
              <w:spacing w:after="0"/>
              <w:rPr>
                <w:rFonts w:ascii="Arial" w:cs="Arial" w:eastAsia="Arial" w:hAnsi="Arial"/>
                <w:sz w:val="10"/>
                <w:szCs w:val="10"/>
                <w:color w:val="0000EE"/>
                <w:w w:val="71"/>
              </w:rPr>
            </w:pPr>
            <w:hyperlink r:id="rId44">
              <w:r>
                <w:rPr>
                  <w:rFonts w:ascii="Arial" w:cs="Arial" w:eastAsia="Arial" w:hAnsi="Arial"/>
                  <w:sz w:val="10"/>
                  <w:szCs w:val="10"/>
                  <w:color w:val="0000EE"/>
                  <w:w w:val="71"/>
                </w:rPr>
                <w:t>7</w:t>
              </w:r>
            </w:hyperlink>
          </w:p>
        </w:tc>
        <w:tc>
          <w:tcPr>
            <w:tcW w:w="2120" w:type="dxa"/>
            <w:vAlign w:val="bottom"/>
            <w:tcBorders>
              <w:top w:val="single" w:sz="8" w:color="CCEEFF"/>
              <w:bottom w:val="single" w:sz="8" w:color="CCEEFF"/>
            </w:tcBorders>
            <w:gridSpan w:val="3"/>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940" w:type="dxa"/>
            <w:vAlign w:val="bottom"/>
            <w:tcBorders>
              <w:bottom w:val="single" w:sz="8" w:color="0000EE"/>
            </w:tcBorders>
            <w:gridSpan w:val="23"/>
            <w:vMerge w:val="continue"/>
          </w:tcPr>
          <w:p>
            <w:pPr>
              <w:spacing w:after="0"/>
              <w:rPr>
                <w:sz w:val="4"/>
                <w:szCs w:val="4"/>
                <w:color w:val="auto"/>
              </w:rPr>
            </w:pPr>
          </w:p>
        </w:tc>
        <w:tc>
          <w:tcPr>
            <w:tcW w:w="80" w:type="dxa"/>
            <w:vAlign w:val="bottom"/>
            <w:gridSpan w:val="3"/>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12"/>
                <w:szCs w:val="12"/>
                <w:color w:val="auto"/>
              </w:rPr>
            </w:pPr>
          </w:p>
        </w:tc>
        <w:tc>
          <w:tcPr>
            <w:tcW w:w="3560" w:type="dxa"/>
            <w:vAlign w:val="bottom"/>
            <w:tcBorders>
              <w:bottom w:val="single" w:sz="8" w:color="CCEEFF"/>
            </w:tcBorders>
            <w:gridSpan w:val="15"/>
            <w:vMerge w:val="restart"/>
            <w:shd w:val="clear" w:color="auto" w:fill="CCEEFF"/>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Indemnity Agreement, dated September 24, 2015</w:t>
              </w:r>
            </w:hyperlink>
          </w:p>
        </w:tc>
        <w:tc>
          <w:tcPr>
            <w:tcW w:w="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76"/>
              </w:rPr>
            </w:pPr>
            <w:hyperlink r:id="rId45">
              <w:r>
                <w:rPr>
                  <w:rFonts w:ascii="Arial" w:cs="Arial" w:eastAsia="Arial" w:hAnsi="Arial"/>
                  <w:sz w:val="14"/>
                  <w:szCs w:val="14"/>
                  <w:color w:val="0000EE"/>
                  <w:w w:val="76"/>
                </w:rPr>
                <w:t>7</w:t>
              </w:r>
            </w:hyperlink>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gridSpan w:val="2"/>
            <w:vMerge w:val="restart"/>
            <w:shd w:val="clear" w:color="auto" w:fill="CCEEFF"/>
          </w:tcPr>
          <w:p>
            <w:pPr>
              <w:spacing w:after="0"/>
              <w:rPr>
                <w:sz w:val="12"/>
                <w:szCs w:val="12"/>
                <w:color w:val="auto"/>
              </w:rPr>
            </w:pPr>
          </w:p>
        </w:tc>
        <w:tc>
          <w:tcPr>
            <w:tcW w:w="2260" w:type="dxa"/>
            <w:vAlign w:val="bottom"/>
            <w:tcBorders>
              <w:bottom w:val="single" w:sz="8" w:color="CCEEFF"/>
            </w:tcBorders>
            <w:gridSpan w:val="8"/>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gridSpan w:val="4"/>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560" w:type="dxa"/>
            <w:vAlign w:val="bottom"/>
            <w:tcBorders>
              <w:bottom w:val="single" w:sz="8" w:color="0000EE"/>
            </w:tcBorders>
            <w:gridSpan w:val="15"/>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gridSpan w:val="2"/>
            <w:vMerge w:val="continue"/>
            <w:shd w:val="clear" w:color="auto" w:fill="CCEEFF"/>
          </w:tcPr>
          <w:p>
            <w:pPr>
              <w:spacing w:after="0"/>
              <w:rPr>
                <w:sz w:val="5"/>
                <w:szCs w:val="5"/>
                <w:color w:val="auto"/>
              </w:rPr>
            </w:pPr>
          </w:p>
        </w:tc>
        <w:tc>
          <w:tcPr>
            <w:tcW w:w="2260" w:type="dxa"/>
            <w:vAlign w:val="bottom"/>
            <w:tcBorders>
              <w:bottom w:val="single" w:sz="8" w:color="CCEEFF"/>
            </w:tcBorders>
            <w:gridSpan w:val="8"/>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10.16</w:t>
            </w:r>
          </w:p>
        </w:tc>
        <w:tc>
          <w:tcPr>
            <w:tcW w:w="120" w:type="dxa"/>
            <w:vAlign w:val="bottom"/>
            <w:tcBorders>
              <w:top w:val="single" w:sz="8" w:color="CCEEFF"/>
            </w:tcBorders>
          </w:tcPr>
          <w:p>
            <w:pPr>
              <w:spacing w:after="0"/>
              <w:rPr>
                <w:sz w:val="12"/>
                <w:szCs w:val="12"/>
                <w:color w:val="auto"/>
              </w:rPr>
            </w:pPr>
          </w:p>
        </w:tc>
        <w:tc>
          <w:tcPr>
            <w:tcW w:w="2940" w:type="dxa"/>
            <w:vAlign w:val="bottom"/>
            <w:tcBorders>
              <w:top w:val="single" w:sz="8" w:color="CCEEFF"/>
              <w:bottom w:val="single" w:sz="8" w:color="CCEEFF"/>
            </w:tcBorders>
            <w:gridSpan w:val="10"/>
            <w:vMerge w:val="restart"/>
          </w:tcPr>
          <w:p>
            <w:pPr>
              <w:spacing w:after="0"/>
              <w:rPr>
                <w:rFonts w:ascii="Arial" w:cs="Arial" w:eastAsia="Arial" w:hAnsi="Arial"/>
                <w:sz w:val="18"/>
                <w:szCs w:val="18"/>
                <w:color w:val="0000EE"/>
                <w:w w:val="88"/>
              </w:rPr>
            </w:pPr>
            <w:hyperlink r:id="rId46">
              <w:r>
                <w:rPr>
                  <w:rFonts w:ascii="Arial" w:cs="Arial" w:eastAsia="Arial" w:hAnsi="Arial"/>
                  <w:sz w:val="18"/>
                  <w:szCs w:val="18"/>
                  <w:color w:val="0000EE"/>
                  <w:w w:val="88"/>
                </w:rPr>
                <w:t>Purchase Agreement, dated May 2, 2018</w:t>
              </w:r>
            </w:hyperlink>
          </w:p>
        </w:tc>
        <w:tc>
          <w:tcPr>
            <w:tcW w:w="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76"/>
              </w:rPr>
            </w:pPr>
            <w:hyperlink r:id="rId46">
              <w:r>
                <w:rPr>
                  <w:rFonts w:ascii="Arial" w:cs="Arial" w:eastAsia="Arial" w:hAnsi="Arial"/>
                  <w:sz w:val="14"/>
                  <w:szCs w:val="14"/>
                  <w:color w:val="0000EE"/>
                  <w:w w:val="76"/>
                </w:rPr>
                <w:t>8</w:t>
              </w:r>
            </w:hyperlink>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320" w:type="dxa"/>
            <w:vAlign w:val="bottom"/>
            <w:tcBorders>
              <w:top w:val="single" w:sz="8" w:color="CCEEFF"/>
              <w:bottom w:val="single" w:sz="8" w:color="CCEEFF"/>
            </w:tcBorders>
            <w:gridSpan w:val="5"/>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20" w:type="dxa"/>
            <w:vAlign w:val="bottom"/>
            <w:tcBorders>
              <w:top w:val="single" w:sz="8" w:color="CCEEFF"/>
              <w:bottom w:val="single" w:sz="8" w:color="CCEEFF"/>
            </w:tcBorders>
            <w:gridSpan w:val="2"/>
            <w:vMerge w:val="restart"/>
          </w:tcPr>
          <w:p>
            <w:pPr>
              <w:spacing w:after="0"/>
              <w:rPr>
                <w:sz w:val="12"/>
                <w:szCs w:val="12"/>
                <w:color w:val="auto"/>
              </w:rPr>
            </w:pPr>
          </w:p>
        </w:tc>
        <w:tc>
          <w:tcPr>
            <w:tcW w:w="2260" w:type="dxa"/>
            <w:vAlign w:val="bottom"/>
            <w:tcBorders>
              <w:top w:val="single" w:sz="8" w:color="CCEEFF"/>
              <w:bottom w:val="single" w:sz="8" w:color="CCEEFF"/>
            </w:tcBorders>
            <w:gridSpan w:val="8"/>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940" w:type="dxa"/>
            <w:vAlign w:val="bottom"/>
            <w:tcBorders>
              <w:bottom w:val="single" w:sz="8" w:color="0000EE"/>
            </w:tcBorders>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320" w:type="dxa"/>
            <w:vAlign w:val="bottom"/>
            <w:gridSpan w:val="5"/>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260" w:type="dxa"/>
            <w:vAlign w:val="bottom"/>
            <w:gridSpan w:val="8"/>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12"/>
                <w:szCs w:val="12"/>
                <w:color w:val="auto"/>
              </w:rPr>
            </w:pPr>
          </w:p>
        </w:tc>
        <w:tc>
          <w:tcPr>
            <w:tcW w:w="3680" w:type="dxa"/>
            <w:vAlign w:val="bottom"/>
            <w:tcBorders>
              <w:bottom w:val="single" w:sz="8" w:color="CCEEFF"/>
            </w:tcBorders>
            <w:gridSpan w:val="17"/>
            <w:vMerge w:val="restart"/>
            <w:shd w:val="clear" w:color="auto" w:fill="CCEEFF"/>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Registration Rights Agreement, dated May 2, 2018</w:t>
              </w:r>
            </w:hyperlink>
          </w:p>
        </w:tc>
        <w:tc>
          <w:tcPr>
            <w:tcW w:w="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76"/>
              </w:rPr>
            </w:pPr>
            <w:hyperlink r:id="rId47">
              <w:r>
                <w:rPr>
                  <w:rFonts w:ascii="Arial" w:cs="Arial" w:eastAsia="Arial" w:hAnsi="Arial"/>
                  <w:sz w:val="14"/>
                  <w:szCs w:val="14"/>
                  <w:color w:val="0000EE"/>
                  <w:w w:val="76"/>
                </w:rPr>
                <w:t>8</w:t>
              </w:r>
            </w:hyperlink>
          </w:p>
        </w:tc>
        <w:tc>
          <w:tcPr>
            <w:tcW w:w="120" w:type="dxa"/>
            <w:vAlign w:val="bottom"/>
            <w:tcBorders>
              <w:bottom w:val="single" w:sz="8" w:color="CCEEFF"/>
            </w:tcBorders>
            <w:gridSpan w:val="2"/>
            <w:vMerge w:val="restart"/>
            <w:shd w:val="clear" w:color="auto" w:fill="CCEEFF"/>
          </w:tcPr>
          <w:p>
            <w:pPr>
              <w:spacing w:after="0"/>
              <w:rPr>
                <w:sz w:val="12"/>
                <w:szCs w:val="12"/>
                <w:color w:val="auto"/>
              </w:rPr>
            </w:pPr>
          </w:p>
        </w:tc>
        <w:tc>
          <w:tcPr>
            <w:tcW w:w="2260" w:type="dxa"/>
            <w:vAlign w:val="bottom"/>
            <w:tcBorders>
              <w:bottom w:val="single" w:sz="8" w:color="CCEEFF"/>
            </w:tcBorders>
            <w:gridSpan w:val="8"/>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3740" w:type="dxa"/>
            <w:vAlign w:val="bottom"/>
            <w:tcBorders>
              <w:bottom w:val="single" w:sz="8" w:color="CCEEFF"/>
            </w:tcBorders>
            <w:gridSpan w:val="4"/>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80" w:type="dxa"/>
            <w:vAlign w:val="bottom"/>
            <w:tcBorders>
              <w:bottom w:val="single" w:sz="8" w:color="0000EE"/>
            </w:tcBorders>
            <w:gridSpan w:val="17"/>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gridSpan w:val="2"/>
            <w:vMerge w:val="continue"/>
            <w:shd w:val="clear" w:color="auto" w:fill="CCEEFF"/>
          </w:tcPr>
          <w:p>
            <w:pPr>
              <w:spacing w:after="0"/>
              <w:rPr>
                <w:sz w:val="5"/>
                <w:szCs w:val="5"/>
                <w:color w:val="auto"/>
              </w:rPr>
            </w:pPr>
          </w:p>
        </w:tc>
        <w:tc>
          <w:tcPr>
            <w:tcW w:w="2260" w:type="dxa"/>
            <w:vAlign w:val="bottom"/>
            <w:tcBorders>
              <w:bottom w:val="single" w:sz="8" w:color="CCEEFF"/>
            </w:tcBorders>
            <w:gridSpan w:val="8"/>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3740" w:type="dxa"/>
            <w:vAlign w:val="bottom"/>
            <w:tcBorders>
              <w:bottom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10.18</w:t>
            </w:r>
          </w:p>
        </w:tc>
        <w:tc>
          <w:tcPr>
            <w:tcW w:w="120" w:type="dxa"/>
            <w:vAlign w:val="bottom"/>
            <w:tcBorders>
              <w:top w:val="single" w:sz="8" w:color="CCEEFF"/>
            </w:tcBorders>
          </w:tcPr>
          <w:p>
            <w:pPr>
              <w:spacing w:after="0"/>
              <w:rPr>
                <w:sz w:val="12"/>
                <w:szCs w:val="12"/>
                <w:color w:val="auto"/>
              </w:rPr>
            </w:pPr>
          </w:p>
        </w:tc>
        <w:tc>
          <w:tcPr>
            <w:tcW w:w="6360" w:type="dxa"/>
            <w:vAlign w:val="bottom"/>
            <w:tcBorders>
              <w:top w:val="single" w:sz="8" w:color="CCEEFF"/>
              <w:bottom w:val="single" w:sz="8" w:color="CCEEFF"/>
            </w:tcBorders>
            <w:gridSpan w:val="31"/>
            <w:vMerge w:val="restart"/>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Amendment to Employment Agreement with William Febbo, dated September 10, 2018</w:t>
              </w:r>
            </w:hyperlink>
          </w:p>
        </w:tc>
        <w:tc>
          <w:tcPr>
            <w:tcW w:w="8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76"/>
              </w:rPr>
            </w:pPr>
            <w:hyperlink r:id="rId48">
              <w:r>
                <w:rPr>
                  <w:rFonts w:ascii="Arial" w:cs="Arial" w:eastAsia="Arial" w:hAnsi="Arial"/>
                  <w:sz w:val="14"/>
                  <w:szCs w:val="14"/>
                  <w:color w:val="0000EE"/>
                  <w:w w:val="76"/>
                </w:rPr>
                <w:t>9</w:t>
              </w:r>
            </w:hyperlink>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3740" w:type="dxa"/>
            <w:vAlign w:val="bottom"/>
            <w:tcBorders>
              <w:top w:val="single" w:sz="8" w:color="CCEEFF"/>
              <w:bottom w:val="single" w:sz="8" w:color="CCEEFF"/>
            </w:tcBorders>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360" w:type="dxa"/>
            <w:vAlign w:val="bottom"/>
            <w:tcBorders>
              <w:bottom w:val="single" w:sz="8" w:color="0000EE"/>
            </w:tcBorders>
            <w:gridSpan w:val="31"/>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12"/>
                <w:szCs w:val="12"/>
                <w:color w:val="auto"/>
              </w:rPr>
            </w:pPr>
          </w:p>
        </w:tc>
        <w:tc>
          <w:tcPr>
            <w:tcW w:w="6560" w:type="dxa"/>
            <w:vAlign w:val="bottom"/>
            <w:tcBorders>
              <w:bottom w:val="single" w:sz="8" w:color="CCEEFF"/>
            </w:tcBorders>
            <w:gridSpan w:val="35"/>
            <w:vMerge w:val="restart"/>
            <w:shd w:val="clear" w:color="auto" w:fill="CCEEFF"/>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Amendment to Employment Agreement with Miriam Paramore, dated September 10, 2018</w:t>
              </w:r>
            </w:hyperlink>
          </w:p>
        </w:tc>
        <w:tc>
          <w:tcPr>
            <w:tcW w:w="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76"/>
              </w:rPr>
            </w:pPr>
            <w:hyperlink r:id="rId49">
              <w:r>
                <w:rPr>
                  <w:rFonts w:ascii="Arial" w:cs="Arial" w:eastAsia="Arial" w:hAnsi="Arial"/>
                  <w:sz w:val="14"/>
                  <w:szCs w:val="14"/>
                  <w:color w:val="0000EE"/>
                  <w:w w:val="76"/>
                </w:rPr>
                <w:t>9</w:t>
              </w:r>
            </w:hyperlink>
          </w:p>
        </w:tc>
        <w:tc>
          <w:tcPr>
            <w:tcW w:w="3740" w:type="dxa"/>
            <w:vAlign w:val="bottom"/>
            <w:tcBorders>
              <w:bottom w:val="single" w:sz="8" w:color="CCEEFF"/>
            </w:tcBorders>
            <w:gridSpan w:val="4"/>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560" w:type="dxa"/>
            <w:vAlign w:val="bottom"/>
            <w:tcBorders>
              <w:bottom w:val="single" w:sz="8" w:color="0000EE"/>
            </w:tcBorders>
            <w:gridSpan w:val="35"/>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740" w:type="dxa"/>
            <w:vAlign w:val="bottom"/>
            <w:tcBorders>
              <w:bottom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10.20</w:t>
            </w:r>
          </w:p>
        </w:tc>
        <w:tc>
          <w:tcPr>
            <w:tcW w:w="120" w:type="dxa"/>
            <w:vAlign w:val="bottom"/>
            <w:tcBorders>
              <w:top w:val="single" w:sz="8" w:color="CCEEFF"/>
            </w:tcBorders>
          </w:tcPr>
          <w:p>
            <w:pPr>
              <w:spacing w:after="0"/>
              <w:rPr>
                <w:sz w:val="12"/>
                <w:szCs w:val="12"/>
                <w:color w:val="auto"/>
              </w:rPr>
            </w:pPr>
          </w:p>
        </w:tc>
        <w:tc>
          <w:tcPr>
            <w:tcW w:w="6400" w:type="dxa"/>
            <w:vAlign w:val="bottom"/>
            <w:tcBorders>
              <w:top w:val="single" w:sz="8" w:color="CCEEFF"/>
              <w:bottom w:val="single" w:sz="8" w:color="CCEEFF"/>
            </w:tcBorders>
            <w:gridSpan w:val="32"/>
            <w:vMerge w:val="restart"/>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Amendment to Employment Agreement with Terry Hamilton, dated September 10, 2018</w:t>
              </w:r>
            </w:hyperlink>
          </w:p>
        </w:tc>
        <w:tc>
          <w:tcPr>
            <w:tcW w:w="60" w:type="dxa"/>
            <w:vAlign w:val="bottom"/>
            <w:tcBorders>
              <w:top w:val="single" w:sz="8" w:color="CCEEFF"/>
              <w:bottom w:val="single" w:sz="8" w:color="0000EE"/>
            </w:tcBorders>
            <w:gridSpan w:val="2"/>
          </w:tcPr>
          <w:p>
            <w:pPr>
              <w:jc w:val="right"/>
              <w:spacing w:after="0"/>
              <w:rPr>
                <w:rFonts w:ascii="Arial" w:cs="Arial" w:eastAsia="Arial" w:hAnsi="Arial"/>
                <w:sz w:val="10"/>
                <w:szCs w:val="10"/>
                <w:color w:val="0000EE"/>
                <w:w w:val="71"/>
              </w:rPr>
            </w:pPr>
            <w:hyperlink r:id="rId50">
              <w:r>
                <w:rPr>
                  <w:rFonts w:ascii="Arial" w:cs="Arial" w:eastAsia="Arial" w:hAnsi="Arial"/>
                  <w:sz w:val="10"/>
                  <w:szCs w:val="10"/>
                  <w:color w:val="0000EE"/>
                  <w:w w:val="71"/>
                </w:rPr>
                <w:t>9</w:t>
              </w:r>
            </w:hyperlink>
          </w:p>
        </w:tc>
        <w:tc>
          <w:tcPr>
            <w:tcW w:w="3920" w:type="dxa"/>
            <w:vAlign w:val="bottom"/>
            <w:tcBorders>
              <w:top w:val="single" w:sz="8" w:color="CCEEFF"/>
              <w:bottom w:val="single" w:sz="8" w:color="CCEEFF"/>
            </w:tcBorders>
            <w:gridSpan w:val="6"/>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400" w:type="dxa"/>
            <w:vAlign w:val="bottom"/>
            <w:tcBorders>
              <w:bottom w:val="single" w:sz="8" w:color="0000EE"/>
            </w:tcBorders>
            <w:gridSpan w:val="32"/>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3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12"/>
                <w:szCs w:val="12"/>
                <w:color w:val="auto"/>
              </w:rPr>
            </w:pPr>
          </w:p>
        </w:tc>
        <w:tc>
          <w:tcPr>
            <w:tcW w:w="6140" w:type="dxa"/>
            <w:vAlign w:val="bottom"/>
            <w:tcBorders>
              <w:bottom w:val="single" w:sz="8" w:color="CCEEFF"/>
            </w:tcBorders>
            <w:gridSpan w:val="29"/>
            <w:vMerge w:val="restart"/>
            <w:shd w:val="clear" w:color="auto" w:fill="CCEEFF"/>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Amendment to Employment Agreement with Doug Baker, dated September 10, 2018</w:t>
              </w:r>
            </w:hyperlink>
          </w:p>
        </w:tc>
        <w:tc>
          <w:tcPr>
            <w:tcW w:w="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76"/>
              </w:rPr>
            </w:pPr>
            <w:hyperlink r:id="rId51">
              <w:r>
                <w:rPr>
                  <w:rFonts w:ascii="Arial" w:cs="Arial" w:eastAsia="Arial" w:hAnsi="Arial"/>
                  <w:sz w:val="14"/>
                  <w:szCs w:val="14"/>
                  <w:color w:val="0000EE"/>
                  <w:w w:val="76"/>
                </w:rPr>
                <w:t>9</w:t>
              </w:r>
            </w:hyperlink>
          </w:p>
        </w:tc>
        <w:tc>
          <w:tcPr>
            <w:tcW w:w="4160" w:type="dxa"/>
            <w:vAlign w:val="bottom"/>
            <w:tcBorders>
              <w:bottom w:val="single" w:sz="8" w:color="CCEEFF"/>
            </w:tcBorders>
            <w:gridSpan w:val="10"/>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140" w:type="dxa"/>
            <w:vAlign w:val="bottom"/>
            <w:tcBorders>
              <w:bottom w:val="single" w:sz="8" w:color="0000EE"/>
            </w:tcBorders>
            <w:gridSpan w:val="29"/>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160" w:type="dxa"/>
            <w:vAlign w:val="bottom"/>
            <w:tcBorders>
              <w:bottom w:val="single" w:sz="8" w:color="CCEEFF"/>
            </w:tcBorders>
            <w:gridSpan w:val="10"/>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10.22</w:t>
            </w:r>
          </w:p>
        </w:tc>
        <w:tc>
          <w:tcPr>
            <w:tcW w:w="120" w:type="dxa"/>
            <w:vAlign w:val="bottom"/>
            <w:tcBorders>
              <w:top w:val="single" w:sz="8" w:color="CCEEFF"/>
            </w:tcBorders>
          </w:tcPr>
          <w:p>
            <w:pPr>
              <w:spacing w:after="0"/>
              <w:rPr>
                <w:sz w:val="12"/>
                <w:szCs w:val="12"/>
                <w:color w:val="auto"/>
              </w:rPr>
            </w:pPr>
          </w:p>
        </w:tc>
        <w:tc>
          <w:tcPr>
            <w:tcW w:w="3740" w:type="dxa"/>
            <w:vAlign w:val="bottom"/>
            <w:tcBorders>
              <w:top w:val="single" w:sz="8" w:color="CCEEFF"/>
              <w:bottom w:val="single" w:sz="8" w:color="CCEEFF"/>
            </w:tcBorders>
            <w:gridSpan w:val="18"/>
            <w:vMerge w:val="restart"/>
          </w:tcPr>
          <w:p>
            <w:pPr>
              <w:spacing w:after="0"/>
              <w:rPr>
                <w:rFonts w:ascii="Arial" w:cs="Arial" w:eastAsia="Arial" w:hAnsi="Arial"/>
                <w:sz w:val="18"/>
                <w:szCs w:val="18"/>
                <w:color w:val="0000EE"/>
                <w:w w:val="88"/>
              </w:rPr>
            </w:pPr>
            <w:hyperlink r:id="rId52">
              <w:r>
                <w:rPr>
                  <w:rFonts w:ascii="Arial" w:cs="Arial" w:eastAsia="Arial" w:hAnsi="Arial"/>
                  <w:sz w:val="18"/>
                  <w:szCs w:val="18"/>
                  <w:color w:val="0000EE"/>
                  <w:w w:val="88"/>
                </w:rPr>
                <w:t>Stock Purchase Agreement, dated October 17, 2018</w:t>
              </w:r>
            </w:hyperlink>
          </w:p>
        </w:tc>
        <w:tc>
          <w:tcPr>
            <w:tcW w:w="140" w:type="dxa"/>
            <w:vAlign w:val="bottom"/>
            <w:tcBorders>
              <w:top w:val="single" w:sz="8" w:color="CCEEFF"/>
              <w:bottom w:val="single" w:sz="8" w:color="0000EE"/>
            </w:tcBorders>
            <w:gridSpan w:val="3"/>
          </w:tcPr>
          <w:p>
            <w:pPr>
              <w:jc w:val="right"/>
              <w:spacing w:after="0" w:line="129" w:lineRule="exact"/>
              <w:rPr>
                <w:rFonts w:ascii="Arial" w:cs="Arial" w:eastAsia="Arial" w:hAnsi="Arial"/>
                <w:sz w:val="14"/>
                <w:szCs w:val="14"/>
                <w:color w:val="0000EE"/>
                <w:w w:val="76"/>
              </w:rPr>
            </w:pPr>
            <w:hyperlink r:id="rId52">
              <w:r>
                <w:rPr>
                  <w:rFonts w:ascii="Arial" w:cs="Arial" w:eastAsia="Arial" w:hAnsi="Arial"/>
                  <w:sz w:val="14"/>
                  <w:szCs w:val="14"/>
                  <w:color w:val="0000EE"/>
                  <w:w w:val="76"/>
                </w:rPr>
                <w:t>10</w:t>
              </w:r>
            </w:hyperlink>
          </w:p>
        </w:tc>
        <w:tc>
          <w:tcPr>
            <w:tcW w:w="6500" w:type="dxa"/>
            <w:vAlign w:val="bottom"/>
            <w:tcBorders>
              <w:top w:val="single" w:sz="8" w:color="CCEEFF"/>
              <w:bottom w:val="single" w:sz="8" w:color="CCEEFF"/>
            </w:tcBorders>
            <w:gridSpan w:val="19"/>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Borders>
              <w:bottom w:val="single" w:sz="8" w:color="0000EE"/>
            </w:tcBorders>
            <w:gridSpan w:val="18"/>
            <w:vMerge w:val="continue"/>
          </w:tcPr>
          <w:p>
            <w:pPr>
              <w:spacing w:after="0"/>
              <w:rPr>
                <w:sz w:val="4"/>
                <w:szCs w:val="4"/>
                <w:color w:val="auto"/>
              </w:rPr>
            </w:pPr>
          </w:p>
        </w:tc>
        <w:tc>
          <w:tcPr>
            <w:tcW w:w="140" w:type="dxa"/>
            <w:vAlign w:val="bottom"/>
            <w:gridSpan w:val="3"/>
          </w:tcPr>
          <w:p>
            <w:pPr>
              <w:spacing w:after="0"/>
              <w:rPr>
                <w:sz w:val="4"/>
                <w:szCs w:val="4"/>
                <w:color w:val="auto"/>
              </w:rPr>
            </w:pPr>
          </w:p>
        </w:tc>
        <w:tc>
          <w:tcPr>
            <w:tcW w:w="650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5"/>
                <w:szCs w:val="15"/>
                <w:color w:val="auto"/>
              </w:rPr>
            </w:pPr>
          </w:p>
        </w:tc>
        <w:tc>
          <w:tcPr>
            <w:tcW w:w="103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List of Subsidiaries**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5"/>
                <w:szCs w:val="15"/>
                <w:color w:val="auto"/>
              </w:rPr>
            </w:pPr>
          </w:p>
        </w:tc>
        <w:tc>
          <w:tcPr>
            <w:tcW w:w="10380" w:type="dxa"/>
            <w:vAlign w:val="bottom"/>
            <w:gridSpan w:val="40"/>
          </w:tcPr>
          <w:p>
            <w:pPr>
              <w:spacing w:after="0" w:line="176" w:lineRule="exact"/>
              <w:rPr>
                <w:sz w:val="20"/>
                <w:szCs w:val="20"/>
                <w:color w:val="auto"/>
              </w:rPr>
            </w:pPr>
            <w:r>
              <w:rPr>
                <w:rFonts w:ascii="Arial" w:cs="Arial" w:eastAsia="Arial" w:hAnsi="Arial"/>
                <w:sz w:val="18"/>
                <w:szCs w:val="18"/>
                <w:color w:val="0000EE"/>
              </w:rPr>
              <w:t>Consent of KLJ &amp; Associates**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5"/>
                <w:szCs w:val="15"/>
                <w:color w:val="auto"/>
              </w:rPr>
            </w:pPr>
          </w:p>
        </w:tc>
        <w:tc>
          <w:tcPr>
            <w:tcW w:w="103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Consent of Sadler, Gibb &amp; Associates, LLC**</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Incorporated by reference to the Form 8-K, filed by the Company with the Securities and Exchange Commission on July 16, 2010.</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Incorporated by reference to the Form 8-K, filed by the Company with the Securities and Exchange Commission on June 11, 2010.</w:t>
      </w:r>
    </w:p>
    <w:p>
      <w:pPr>
        <w:spacing w:after="0" w:line="9" w:lineRule="exact"/>
        <w:rPr>
          <w:rFonts w:ascii="Arial" w:cs="Arial" w:eastAsia="Arial" w:hAnsi="Arial"/>
          <w:sz w:val="18"/>
          <w:szCs w:val="18"/>
          <w:color w:val="auto"/>
        </w:rPr>
      </w:pPr>
    </w:p>
    <w:p>
      <w:pPr>
        <w:ind w:right="1200"/>
        <w:spacing w:after="0" w:line="281" w:lineRule="auto"/>
        <w:rPr>
          <w:rFonts w:ascii="Arial" w:cs="Arial" w:eastAsia="Arial" w:hAnsi="Arial"/>
          <w:sz w:val="18"/>
          <w:szCs w:val="18"/>
          <w:color w:val="auto"/>
        </w:rPr>
      </w:pPr>
      <w:r>
        <w:rPr>
          <w:rFonts w:ascii="Arial" w:cs="Arial" w:eastAsia="Arial" w:hAnsi="Arial"/>
          <w:sz w:val="16"/>
          <w:szCs w:val="16"/>
          <w:color w:val="auto"/>
        </w:rPr>
        <w:t>4 Incorporated by reference to the Form 8-K, filed by the Company with the Securities and Exchange Commission on September 20, 2013. 5 Incorporated by reference to the Form 8-K, filed by the Company with the Securities and Exchange Commission on March 18, 2014.</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Incorporated by reference to the Form S-1/A filed by the Company with the Securities and Exchange Commission on May 12, 2014.</w:t>
      </w:r>
    </w:p>
    <w:p>
      <w:pPr>
        <w:spacing w:after="0" w:line="9" w:lineRule="exact"/>
        <w:rPr>
          <w:rFonts w:ascii="Arial" w:cs="Arial" w:eastAsia="Arial" w:hAnsi="Arial"/>
          <w:sz w:val="18"/>
          <w:szCs w:val="18"/>
          <w:color w:val="auto"/>
        </w:rPr>
      </w:pPr>
    </w:p>
    <w:p>
      <w:pPr>
        <w:ind w:right="1200"/>
        <w:spacing w:after="0" w:line="281" w:lineRule="auto"/>
        <w:rPr>
          <w:rFonts w:ascii="Arial" w:cs="Arial" w:eastAsia="Arial" w:hAnsi="Arial"/>
          <w:sz w:val="18"/>
          <w:szCs w:val="18"/>
          <w:color w:val="auto"/>
        </w:rPr>
      </w:pPr>
      <w:r>
        <w:rPr>
          <w:rFonts w:ascii="Arial" w:cs="Arial" w:eastAsia="Arial" w:hAnsi="Arial"/>
          <w:sz w:val="16"/>
          <w:szCs w:val="16"/>
          <w:color w:val="auto"/>
        </w:rPr>
        <w:t>7 Incorporated by reference to the Form 8-K, filed by the Company with the Securities and Exchange Commission on September 30, 2015. 8 Incorporated by reference to the Form 10-Q, filed by the Company with the Securities and Exchange Commission on May 2, 2018.</w:t>
      </w:r>
    </w:p>
    <w:p>
      <w:pPr>
        <w:spacing w:after="0" w:line="1" w:lineRule="exact"/>
        <w:rPr>
          <w:rFonts w:ascii="Arial" w:cs="Arial" w:eastAsia="Arial" w:hAnsi="Arial"/>
          <w:sz w:val="18"/>
          <w:szCs w:val="18"/>
          <w:color w:val="auto"/>
        </w:rPr>
      </w:pPr>
    </w:p>
    <w:p>
      <w:pPr>
        <w:ind w:right="1200"/>
        <w:spacing w:after="0" w:line="302" w:lineRule="auto"/>
        <w:rPr>
          <w:rFonts w:ascii="Arial" w:cs="Arial" w:eastAsia="Arial" w:hAnsi="Arial"/>
          <w:sz w:val="18"/>
          <w:szCs w:val="18"/>
          <w:color w:val="auto"/>
        </w:rPr>
      </w:pPr>
      <w:r>
        <w:rPr>
          <w:rFonts w:ascii="Arial" w:cs="Arial" w:eastAsia="Arial" w:hAnsi="Arial"/>
          <w:sz w:val="16"/>
          <w:szCs w:val="16"/>
          <w:color w:val="auto"/>
        </w:rPr>
        <w:t>9 Incorporated by reference to the Form 8-K, filed by the Company with the Securities and Exchange Commission on September 14, 2018. 10 Incorporated by reference to the Form 8-K,, filed by the Company with the Securities and Exchange Commission on October 17, 2018. 11Incorporated by reference to the Form S-3, filed by the Company with the Securities and Exchange Commission on November 13,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980"/>
        <w:spacing w:after="0" w:line="272" w:lineRule="auto"/>
        <w:tabs>
          <w:tab w:leader="none" w:pos="1380" w:val="left"/>
        </w:tabs>
        <w:numPr>
          <w:ilvl w:val="2"/>
          <w:numId w:val="1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980" w:right="160"/>
        <w:spacing w:after="0" w:line="255" w:lineRule="auto"/>
        <w:tabs>
          <w:tab w:leader="none" w:pos="1385"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(i), (ii) and (iii) above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193" w:lineRule="exact"/>
        <w:rPr>
          <w:rFonts w:ascii="Arial" w:cs="Arial" w:eastAsia="Arial" w:hAnsi="Arial"/>
          <w:sz w:val="18"/>
          <w:szCs w:val="18"/>
          <w:color w:val="auto"/>
        </w:rPr>
      </w:pPr>
    </w:p>
    <w:p>
      <w:pPr>
        <w:jc w:val="both"/>
        <w:ind w:left="660" w:right="240" w:hanging="4"/>
        <w:spacing w:after="0" w:line="264" w:lineRule="auto"/>
        <w:tabs>
          <w:tab w:leader="none" w:pos="100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720" w:hanging="4"/>
        <w:spacing w:after="0" w:line="277" w:lineRule="auto"/>
        <w:tabs>
          <w:tab w:leader="none" w:pos="100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980" w:right="60"/>
        <w:spacing w:after="0" w:line="277" w:lineRule="auto"/>
        <w:rPr>
          <w:rFonts w:ascii="Arial" w:cs="Arial" w:eastAsia="Arial" w:hAnsi="Arial"/>
          <w:sz w:val="18"/>
          <w:szCs w:val="18"/>
          <w:color w:val="auto"/>
        </w:rPr>
      </w:pPr>
      <w:r>
        <w:rPr>
          <w:rFonts w:ascii="Arial" w:cs="Arial" w:eastAsia="Arial" w:hAnsi="Arial"/>
          <w:sz w:val="18"/>
          <w:szCs w:val="18"/>
          <w:color w:val="auto"/>
        </w:rPr>
        <w:t>(A) 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980" w:right="20"/>
        <w:spacing w:after="0" w:line="287" w:lineRule="auto"/>
        <w:rPr>
          <w:rFonts w:ascii="Arial" w:cs="Arial" w:eastAsia="Arial" w:hAnsi="Arial"/>
          <w:sz w:val="18"/>
          <w:szCs w:val="18"/>
          <w:color w:val="auto"/>
        </w:rPr>
      </w:pPr>
      <w:r>
        <w:rPr>
          <w:rFonts w:ascii="Arial" w:cs="Arial" w:eastAsia="Arial" w:hAnsi="Arial"/>
          <w:sz w:val="16"/>
          <w:szCs w:val="16"/>
          <w:color w:val="auto"/>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right="660" w:hanging="4"/>
        <w:spacing w:after="0" w:line="277" w:lineRule="auto"/>
        <w:tabs>
          <w:tab w:leader="none" w:pos="10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170"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380" w:hanging="400"/>
        <w:spacing w:after="0"/>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980" w:right="360"/>
        <w:spacing w:after="0" w:line="27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80"/>
        <w:spacing w:after="0" w:line="277" w:lineRule="auto"/>
        <w:tabs>
          <w:tab w:leader="none" w:pos="13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380" w:hanging="400"/>
        <w:spacing w:after="0"/>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340" w:right="40" w:hanging="8"/>
        <w:spacing w:after="0" w:line="291" w:lineRule="auto"/>
        <w:tabs>
          <w:tab w:leader="none" w:pos="6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w:t>
      </w:r>
    </w:p>
    <w:p>
      <w:pPr>
        <w:ind w:left="340"/>
        <w:spacing w:after="0"/>
        <w:rPr>
          <w:rFonts w:ascii="Arial" w:cs="Arial" w:eastAsia="Arial" w:hAnsi="Arial"/>
          <w:sz w:val="16"/>
          <w:szCs w:val="16"/>
          <w:color w:val="auto"/>
        </w:rPr>
      </w:pPr>
      <w:r>
        <w:rPr>
          <w:rFonts w:ascii="Arial" w:cs="Arial" w:eastAsia="Arial" w:hAnsi="Arial"/>
          <w:sz w:val="18"/>
          <w:szCs w:val="18"/>
          <w:color w:val="auto"/>
        </w:rPr>
        <w:t>(2) of the Trust Indenture Act.</w:t>
      </w:r>
    </w:p>
    <w:p>
      <w:pPr>
        <w:spacing w:after="0" w:line="210" w:lineRule="exact"/>
        <w:rPr>
          <w:rFonts w:ascii="Arial" w:cs="Arial" w:eastAsia="Arial" w:hAnsi="Arial"/>
          <w:sz w:val="16"/>
          <w:szCs w:val="16"/>
          <w:color w:val="auto"/>
        </w:rPr>
      </w:pPr>
    </w:p>
    <w:p>
      <w:pPr>
        <w:ind w:left="340" w:right="60" w:hanging="8"/>
        <w:spacing w:after="0" w:line="257" w:lineRule="auto"/>
        <w:tabs>
          <w:tab w:leader="none" w:pos="6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4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340" w:right="40" w:hanging="8"/>
        <w:spacing w:after="0" w:line="271" w:lineRule="auto"/>
        <w:tabs>
          <w:tab w:leader="none" w:pos="6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rFonts w:ascii="Arial" w:cs="Arial" w:eastAsia="Arial" w:hAnsi="Arial"/>
          <w:sz w:val="17"/>
          <w:szCs w:val="17"/>
          <w:color w:val="auto"/>
        </w:rPr>
      </w:pPr>
    </w:p>
    <w:p>
      <w:pPr>
        <w:ind w:left="340" w:right="60" w:hanging="8"/>
        <w:spacing w:after="0" w:line="302" w:lineRule="auto"/>
        <w:tabs>
          <w:tab w:leader="none" w:pos="67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December 10,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William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December 10,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Lang</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James Lang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December 10,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Lynn Vos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December 10,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December 10,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Spangler</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Patrick Spangler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December 10,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Archambault</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Bryan Archambault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December 10,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December 10, 2018</w:t>
            </w:r>
          </w:p>
        </w:tc>
      </w:tr>
    </w:tbl>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226" w:right="39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3"/>
          </w:tcPr>
          <w:p>
            <w:pPr>
              <w:ind w:left="3880"/>
              <w:spacing w:after="0"/>
              <w:rPr>
                <w:sz w:val="20"/>
                <w:szCs w:val="20"/>
                <w:color w:val="auto"/>
              </w:rPr>
            </w:pPr>
            <w:r>
              <w:rPr>
                <w:rFonts w:ascii="Arial" w:cs="Arial" w:eastAsia="Arial" w:hAnsi="Arial"/>
                <w:sz w:val="18"/>
                <w:szCs w:val="18"/>
                <w:b w:val="1"/>
                <w:bCs w:val="1"/>
                <w:color w:val="auto"/>
                <w:w w:val="91"/>
              </w:rPr>
              <w:t>List of Subsidiaries of OptimizeRx Corporation</w:t>
            </w:r>
          </w:p>
        </w:tc>
        <w:tc>
          <w:tcPr>
            <w:tcW w:w="3840" w:type="dxa"/>
            <w:vAlign w:val="bottom"/>
          </w:tcPr>
          <w:p>
            <w:pPr>
              <w:spacing w:after="0"/>
              <w:rPr>
                <w:sz w:val="20"/>
                <w:szCs w:val="20"/>
                <w:color w:val="auto"/>
              </w:rPr>
            </w:pPr>
          </w:p>
        </w:tc>
      </w:tr>
      <w:tr>
        <w:trPr>
          <w:trHeight w:val="459"/>
        </w:trPr>
        <w:tc>
          <w:tcPr>
            <w:tcW w:w="758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90"/>
              </w:rPr>
              <w:t>Name of Subsidiary</w:t>
            </w:r>
          </w:p>
        </w:tc>
        <w:tc>
          <w:tcPr>
            <w:tcW w:w="38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Jurisdiction of Subsidiary</w:t>
            </w:r>
          </w:p>
        </w:tc>
      </w:tr>
      <w:tr>
        <w:trPr>
          <w:trHeight w:val="210"/>
        </w:trPr>
        <w:tc>
          <w:tcPr>
            <w:tcW w:w="5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OptimizeRx Corporation</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jc w:val="center"/>
              <w:ind w:right="1670"/>
              <w:spacing w:after="0"/>
              <w:rPr>
                <w:sz w:val="20"/>
                <w:szCs w:val="20"/>
                <w:color w:val="auto"/>
              </w:rPr>
            </w:pPr>
            <w:r>
              <w:rPr>
                <w:rFonts w:ascii="Arial" w:cs="Arial" w:eastAsia="Arial" w:hAnsi="Arial"/>
                <w:sz w:val="18"/>
                <w:szCs w:val="18"/>
                <w:color w:val="auto"/>
                <w:w w:val="94"/>
              </w:rPr>
              <w:t>Michigan</w:t>
            </w:r>
          </w:p>
        </w:tc>
      </w:tr>
      <w:tr>
        <w:trPr>
          <w:trHeight w:val="230"/>
        </w:trPr>
        <w:tc>
          <w:tcPr>
            <w:tcW w:w="7580" w:type="dxa"/>
            <w:vAlign w:val="bottom"/>
            <w:gridSpan w:val="3"/>
          </w:tcPr>
          <w:p>
            <w:pPr>
              <w:jc w:val="center"/>
              <w:ind w:right="1960"/>
              <w:spacing w:after="0"/>
              <w:rPr>
                <w:sz w:val="20"/>
                <w:szCs w:val="20"/>
                <w:color w:val="auto"/>
              </w:rPr>
            </w:pPr>
            <w:r>
              <w:rPr>
                <w:rFonts w:ascii="Arial" w:cs="Arial" w:eastAsia="Arial" w:hAnsi="Arial"/>
                <w:sz w:val="18"/>
                <w:szCs w:val="18"/>
                <w:color w:val="auto"/>
                <w:w w:val="90"/>
              </w:rPr>
              <w:t>CareSpeak Communications, Inc.</w:t>
            </w:r>
          </w:p>
        </w:tc>
        <w:tc>
          <w:tcPr>
            <w:tcW w:w="3840" w:type="dxa"/>
            <w:vAlign w:val="bottom"/>
          </w:tcPr>
          <w:p>
            <w:pPr>
              <w:jc w:val="center"/>
              <w:ind w:right="1670"/>
              <w:spacing w:after="0"/>
              <w:rPr>
                <w:sz w:val="20"/>
                <w:szCs w:val="20"/>
                <w:color w:val="auto"/>
              </w:rPr>
            </w:pPr>
            <w:r>
              <w:rPr>
                <w:rFonts w:ascii="Arial" w:cs="Arial" w:eastAsia="Arial" w:hAnsi="Arial"/>
                <w:sz w:val="18"/>
                <w:szCs w:val="18"/>
                <w:color w:val="auto"/>
                <w:w w:val="89"/>
              </w:rPr>
              <w:t>New Jersey</w:t>
            </w:r>
          </w:p>
        </w:tc>
      </w:tr>
    </w:tbl>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752725" cy="660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275272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use of our audit report dated March 8, 2017, with respect to the consolidated financial statements of OptimizeRx Corporation as incorporated by reference in its registration statement on Form S-3/A-1. We also consent to the reference of our firm under the caption “interest of named experts and counsel” in the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2018</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55165" cy="1029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195516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with the Public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Oversight Board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this Registration Statement on Form S-3 of our report dated March 7, 2018, with respect to the consolidated financial statements of OptimizeRx Corp. included in its Annual Report (Form 10-K) for the year ended December 31, 2017 and to the incorporation by reference of our report dated December 10, 2018 with respect to the consolidated financial statements of CareSpeak Communications, Inc. for the years ended December 31, 2017 and 2016 included in OptimizeRx Corp’s 8-K/A filed with the Securities and Exchange Commission. We also consent to the reference of our firm under the caption “Experts”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766570"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17665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SADLER, GIBB AND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o"/>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jpeg"/><Relationship Id="rId61" Type="http://schemas.openxmlformats.org/officeDocument/2006/relationships/image" Target="media/image34.jpeg"/><Relationship Id="rId62" Type="http://schemas.openxmlformats.org/officeDocument/2006/relationships/image" Target="media/image35.jpeg"/><Relationship Id="rId33" Type="http://schemas.openxmlformats.org/officeDocument/2006/relationships/hyperlink" Target="http://www.sec.gov/Archives/edgar/data/1448431/000136110608000414/optimizerx_s1-ex0301.htm" TargetMode="External"/><Relationship Id="rId34" Type="http://schemas.openxmlformats.org/officeDocument/2006/relationships/hyperlink" Target="http://www.sec.gov/Archives/edgar/data/1448431/000125529410000605/ex3_1.htm" TargetMode="External"/><Relationship Id="rId35" Type="http://schemas.openxmlformats.org/officeDocument/2006/relationships/hyperlink" Target="http://www.sec.gov/Archives/edgar/data/1448431/000136110608000414/optimizerx_s1-ex0401.htm" TargetMode="External"/><Relationship Id="rId36" Type="http://schemas.openxmlformats.org/officeDocument/2006/relationships/hyperlink" Target="http://www.sec.gov/Archives/edgar/data/1448431/000125529410000492/ex4_1.htm" TargetMode="External"/><Relationship Id="rId37" Type="http://schemas.openxmlformats.org/officeDocument/2006/relationships/hyperlink" Target="http://www.sec.gov/Archives/edgar/data/1448431/000121390018015532/fs32018ex5-1_optimizerxcorp.htm" TargetMode="External"/><Relationship Id="rId38" Type="http://schemas.openxmlformats.org/officeDocument/2006/relationships/hyperlink" Target="http://www.sec.gov/Archives/edgar/data/1448431/000125529414000204/ex10_1.htm" TargetMode="External"/><Relationship Id="rId39" Type="http://schemas.openxmlformats.org/officeDocument/2006/relationships/hyperlink" Target="http://www.sec.gov/Archives/edgar/data/1448431/000125529414000204/ex10_2.htm" TargetMode="External"/><Relationship Id="rId40" Type="http://schemas.openxmlformats.org/officeDocument/2006/relationships/hyperlink" Target="http://www.sec.gov/Archives/edgar/data/1448431/000125529414000204/ex10_3.htm" TargetMode="External"/><Relationship Id="rId41" Type="http://schemas.openxmlformats.org/officeDocument/2006/relationships/hyperlink" Target="http://www.sec.gov/Archives/edgar/data/1448431/000125529414000402/ex10_19.htm" TargetMode="External"/><Relationship Id="rId42" Type="http://schemas.openxmlformats.org/officeDocument/2006/relationships/hyperlink" Target="http://www.sec.gov/Archives/edgar/data/1448431/000125529414000402/ex10_20.htm" TargetMode="External"/><Relationship Id="rId43" Type="http://schemas.openxmlformats.org/officeDocument/2006/relationships/hyperlink" Target="http://www.sec.gov/Archives/edgar/data/1448431/000121390015007373/f8k092415ex10i_optimizerx.htm" TargetMode="External"/><Relationship Id="rId44" Type="http://schemas.openxmlformats.org/officeDocument/2006/relationships/hyperlink" Target="http://www.sec.gov/Archives/edgar/data/1448431/000121390015007373/f8k092415ex10ii_optimizerx.htm" TargetMode="External"/><Relationship Id="rId45" Type="http://schemas.openxmlformats.org/officeDocument/2006/relationships/hyperlink" Target="http://www.sec.gov/Archives/edgar/data/1448431/000121390015007373/f8k092415ex10iii_optimizerx.htm" TargetMode="External"/><Relationship Id="rId46" Type="http://schemas.openxmlformats.org/officeDocument/2006/relationships/hyperlink" Target="http://www.sec.gov/Archives/edgar/data/1448431/000121390018005414/f10q0318ex10-1_optimizerx.htm" TargetMode="External"/><Relationship Id="rId47" Type="http://schemas.openxmlformats.org/officeDocument/2006/relationships/hyperlink" Target="http://www.sec.gov/Archives/edgar/data/1448431/000121390018005414/f10q0318ex10-2_optimizerx.htm" TargetMode="External"/><Relationship Id="rId48" Type="http://schemas.openxmlformats.org/officeDocument/2006/relationships/hyperlink" Target="http://www.sec.gov/Archives/edgar/data/1448431/000121390018012576/f8k091218ex10-1_optimizerx.htm" TargetMode="External"/><Relationship Id="rId49" Type="http://schemas.openxmlformats.org/officeDocument/2006/relationships/hyperlink" Target="http://www.sec.gov/Archives/edgar/data/1448431/000121390018012576/f8k091218ex10-2_optimizerx.htm" TargetMode="External"/><Relationship Id="rId50" Type="http://schemas.openxmlformats.org/officeDocument/2006/relationships/hyperlink" Target="http://www.sec.gov/Archives/edgar/data/1448431/000121390018012576/f8k091218ex10-3_optimizerx.htm" TargetMode="External"/><Relationship Id="rId51" Type="http://schemas.openxmlformats.org/officeDocument/2006/relationships/hyperlink" Target="http://www.sec.gov/Archives/edgar/data/1448431/000121390018012576/f8k091218ex10-4_optimizerx.htm" TargetMode="External"/><Relationship Id="rId52" Type="http://schemas.openxmlformats.org/officeDocument/2006/relationships/hyperlink" Target="http://www.sec.gov/Archives/edgar/data/1448431/000121390018014013/f8k101718ex2-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2019-12-07T14:45:14Z</dcterms:created>
  <dcterms:modified xsi:type="dcterms:W3CDTF">2019-12-07T14:45:14Z</dcterms:modified>
</cp:coreProperties>
</file>