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03141-8k_optimize.htm"/>
      <w:bookmarkStart w:id="1" w:name="ksea02031418k_optimize"/>
      <w:bookmarkEnd w:id="0"/>
      <w:bookmarkEnd w:id="1"/>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3_edei--DocumentType_c20240328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 xml:space="preserve">March 28, 2024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0_edei--EntityRegistrantName_c2024"/>
      <w:bookmarkEnd w:id="4"/>
      <w:r>
        <w:rPr>
          <w:rFonts w:ascii="Times New Roman;Times;Serif" w:hAnsi="Times New Roman;Times;Serif"/>
          <w:b/>
          <w:i w:val="false"/>
          <w:caps w:val="false"/>
          <w:smallCaps w:val="false"/>
          <w:sz w:val="20"/>
        </w:rPr>
        <w:t>OptimizeRx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6075" w:type="dxa"/>
        <w:jc w:val="left"/>
        <w:tblInd w:w="0" w:type="dxa"/>
        <w:tblLayout w:type="fixed"/>
        <w:tblCellMar>
          <w:top w:w="0" w:type="dxa"/>
          <w:left w:w="0" w:type="dxa"/>
          <w:bottom w:w="28" w:type="dxa"/>
          <w:right w:w="0" w:type="dxa"/>
        </w:tblCellMar>
      </w:tblPr>
      <w:tblGrid>
        <w:gridCol w:w="2210"/>
        <w:gridCol w:w="60"/>
        <w:gridCol w:w="2210"/>
        <w:gridCol w:w="60"/>
        <w:gridCol w:w="1535"/>
      </w:tblGrid>
      <w:tr>
        <w:trPr/>
        <w:tc>
          <w:tcPr>
            <w:tcW w:w="2210" w:type="dxa"/>
            <w:tcBorders>
              <w:bottom w:val="single" w:sz="12" w:space="0" w:color="000000"/>
            </w:tcBorders>
            <w:vAlign w:val="center"/>
          </w:tcPr>
          <w:p>
            <w:pPr>
              <w:pStyle w:val="TableContents"/>
              <w:bidi w:val="0"/>
              <w:spacing w:before="0" w:after="283"/>
              <w:jc w:val="center"/>
              <w:rPr>
                <w:b/>
                <w:sz w:val="20"/>
              </w:rPr>
            </w:pPr>
            <w:bookmarkStart w:id="5" w:name="xdx_903_edei--EntityIncorporationStateCo"/>
            <w:bookmarkEnd w:id="5"/>
            <w:r>
              <w:rPr>
                <w:b/>
                <w:sz w:val="20"/>
              </w:rPr>
              <w:t>Nevada</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3_edei--EntityFileNumber_c20240328"/>
            <w:bookmarkEnd w:id="6"/>
            <w:r>
              <w:rPr>
                <w:b/>
                <w:sz w:val="20"/>
              </w:rPr>
              <w:t>001-38543</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F_edei--EntityTaxIdentificationNum"/>
            <w:bookmarkEnd w:id="7"/>
            <w:r>
              <w:rPr>
                <w:b/>
                <w:sz w:val="20"/>
              </w:rPr>
              <w:t>26-1265381</w:t>
            </w:r>
          </w:p>
        </w:tc>
      </w:tr>
      <w:tr>
        <w:trPr/>
        <w:tc>
          <w:tcPr>
            <w:tcW w:w="2210" w:type="dxa"/>
            <w:tcBorders/>
            <w:tcMar>
              <w:bottom w:w="0" w:type="dxa"/>
            </w:tcMar>
            <w:vAlign w:val="center"/>
          </w:tcPr>
          <w:p>
            <w:pPr>
              <w:pStyle w:val="TableContents"/>
              <w:bidi w:val="0"/>
              <w:spacing w:before="0" w:after="283"/>
              <w:jc w:val="center"/>
              <w:rPr>
                <w:sz w:val="20"/>
              </w:rPr>
            </w:pPr>
            <w:r>
              <w:rPr>
                <w:sz w:val="20"/>
              </w:rPr>
              <w:t xml:space="preserve">(State or other jurisdiction </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r>
              <w:rPr>
                <w:sz w:val="20"/>
              </w:rPr>
              <w:t xml:space="preserve">(IRS Employer </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735" w:type="dxa"/>
        <w:jc w:val="left"/>
        <w:tblInd w:w="0" w:type="dxa"/>
        <w:tblLayout w:type="fixed"/>
        <w:tblCellMar>
          <w:top w:w="0" w:type="dxa"/>
          <w:left w:w="0" w:type="dxa"/>
          <w:bottom w:w="28" w:type="dxa"/>
          <w:right w:w="0" w:type="dxa"/>
        </w:tblCellMar>
      </w:tblPr>
      <w:tblGrid>
        <w:gridCol w:w="3755"/>
        <w:gridCol w:w="60"/>
        <w:gridCol w:w="920"/>
      </w:tblGrid>
      <w:tr>
        <w:trPr/>
        <w:tc>
          <w:tcPr>
            <w:tcW w:w="3755" w:type="dxa"/>
            <w:tcBorders>
              <w:bottom w:val="single" w:sz="12" w:space="0" w:color="000000"/>
            </w:tcBorders>
            <w:vAlign w:val="center"/>
          </w:tcPr>
          <w:p>
            <w:pPr>
              <w:pStyle w:val="TableContents"/>
              <w:bidi w:val="0"/>
              <w:spacing w:before="0" w:after="283"/>
              <w:jc w:val="center"/>
              <w:rPr>
                <w:b/>
                <w:sz w:val="20"/>
              </w:rPr>
            </w:pPr>
            <w:bookmarkStart w:id="8" w:name="xdx_907_edei--EntityAddressAddressLine1_"/>
            <w:bookmarkEnd w:id="8"/>
            <w:r>
              <w:rPr>
                <w:b/>
                <w:sz w:val="20"/>
              </w:rPr>
              <w:t xml:space="preserve">260 Charles Street, </w:t>
            </w:r>
            <w:bookmarkStart w:id="9" w:name="xdx_905_edei--EntityAddressAddressLine2_"/>
            <w:bookmarkEnd w:id="9"/>
            <w:r>
              <w:rPr>
                <w:b/>
                <w:sz w:val="20"/>
              </w:rPr>
              <w:t xml:space="preserve">Suite 302, </w:t>
            </w:r>
            <w:bookmarkStart w:id="10" w:name="xdx_90D_edei--EntityAddressCityOrTown_c2"/>
            <w:bookmarkEnd w:id="10"/>
            <w:r>
              <w:rPr>
                <w:b/>
                <w:sz w:val="20"/>
              </w:rPr>
              <w:t xml:space="preserve">Waltham, </w:t>
            </w:r>
            <w:bookmarkStart w:id="11" w:name="xdx_906_edei--EntityAddressStateOrProvin"/>
            <w:bookmarkEnd w:id="11"/>
            <w:r>
              <w:rPr>
                <w:b/>
                <w:sz w:val="20"/>
              </w:rPr>
              <w:t>MA</w:t>
            </w:r>
          </w:p>
        </w:tc>
        <w:tc>
          <w:tcPr>
            <w:tcW w:w="60" w:type="dxa"/>
            <w:tcBorders/>
            <w:tcMar>
              <w:bottom w:w="0" w:type="dxa"/>
            </w:tcMar>
            <w:vAlign w:val="center"/>
          </w:tcPr>
          <w:p>
            <w:pPr>
              <w:pStyle w:val="TableContents"/>
              <w:bidi w:val="0"/>
              <w:spacing w:before="0" w:after="283"/>
              <w:jc w:val="center"/>
              <w:rPr/>
            </w:pPr>
            <w:r>
              <w:rPr/>
              <w:t> </w:t>
            </w:r>
          </w:p>
        </w:tc>
        <w:tc>
          <w:tcPr>
            <w:tcW w:w="920" w:type="dxa"/>
            <w:tcBorders>
              <w:bottom w:val="single" w:sz="12" w:space="0" w:color="000000"/>
            </w:tcBorders>
            <w:vAlign w:val="center"/>
          </w:tcPr>
          <w:p>
            <w:pPr>
              <w:pStyle w:val="TableContents"/>
              <w:bidi w:val="0"/>
              <w:spacing w:before="0" w:after="283"/>
              <w:jc w:val="center"/>
              <w:rPr>
                <w:b/>
                <w:sz w:val="20"/>
              </w:rPr>
            </w:pPr>
            <w:bookmarkStart w:id="12" w:name="xdx_903_edei--EntityAddressPostalZipCode"/>
            <w:bookmarkEnd w:id="12"/>
            <w:r>
              <w:rPr>
                <w:b/>
                <w:sz w:val="20"/>
              </w:rPr>
              <w:t>02453</w:t>
            </w:r>
          </w:p>
        </w:tc>
      </w:tr>
      <w:tr>
        <w:trPr/>
        <w:tc>
          <w:tcPr>
            <w:tcW w:w="375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C_edei--CityAreaCode_c20240328__20"/>
      <w:bookmarkEnd w:id="13"/>
      <w:r>
        <w:rPr>
          <w:rFonts w:ascii="Times New Roman;Times;Serif" w:hAnsi="Times New Roman;Times;Serif"/>
          <w:b/>
          <w:i w:val="false"/>
          <w:caps w:val="false"/>
          <w:smallCaps w:val="false"/>
          <w:sz w:val="20"/>
          <w:u w:val="single"/>
        </w:rPr>
        <w:t>248.</w:t>
      </w:r>
      <w:bookmarkStart w:id="14" w:name="xdx_90C_edei--LocalPhoneNumber_c20240328"/>
      <w:bookmarkEnd w:id="14"/>
      <w:r>
        <w:rPr>
          <w:rFonts w:ascii="Times New Roman;Times;Serif" w:hAnsi="Times New Roman;Times;Serif"/>
          <w:b/>
          <w:i w:val="false"/>
          <w:caps w:val="false"/>
          <w:smallCaps w:val="false"/>
          <w:sz w:val="20"/>
          <w:u w:val="single"/>
        </w:rPr>
        <w:t>651.6568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7_edei--WrittenCommunications_c202"/>
            <w:bookmarkEnd w:id="15"/>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9_edei--SolicitingMaterial_c202403"/>
            <w:bookmarkEnd w:id="16"/>
            <w:r>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E_edei--PreCommencementTenderOffer"/>
            <w:bookmarkEnd w:id="17"/>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A_edei--PreCommencementIssuerTende"/>
            <w:bookmarkEnd w:id="18"/>
            <w:r>
              <w:rPr/>
              <w:t>☐</w:t>
            </w:r>
          </w:p>
        </w:tc>
        <w:tc>
          <w:tcPr>
            <w:tcW w:w="906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220" w:type="dxa"/>
        <w:jc w:val="left"/>
        <w:tblInd w:w="0" w:type="dxa"/>
        <w:tblLayout w:type="fixed"/>
        <w:tblCellMar>
          <w:top w:w="0" w:type="dxa"/>
          <w:left w:w="0" w:type="dxa"/>
          <w:bottom w:w="28" w:type="dxa"/>
          <w:right w:w="0" w:type="dxa"/>
        </w:tblCellMar>
      </w:tblPr>
      <w:tblGrid>
        <w:gridCol w:w="2780"/>
        <w:gridCol w:w="60"/>
        <w:gridCol w:w="1610"/>
        <w:gridCol w:w="60"/>
        <w:gridCol w:w="3710"/>
      </w:tblGrid>
      <w:tr>
        <w:trPr/>
        <w:tc>
          <w:tcPr>
            <w:tcW w:w="278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2780" w:type="dxa"/>
            <w:tcBorders/>
            <w:shd w:fill="CCEEFF" w:val="clear"/>
            <w:tcMar>
              <w:bottom w:w="0" w:type="dxa"/>
            </w:tcMar>
            <w:vAlign w:val="center"/>
          </w:tcPr>
          <w:p>
            <w:pPr>
              <w:pStyle w:val="TableContents"/>
              <w:bidi w:val="0"/>
              <w:spacing w:before="0" w:after="283"/>
              <w:jc w:val="center"/>
              <w:rPr>
                <w:sz w:val="20"/>
              </w:rPr>
            </w:pPr>
            <w:bookmarkStart w:id="19" w:name="xdx_90A_edei--Security12bTitle_c20240328"/>
            <w:bookmarkEnd w:id="19"/>
            <w:r>
              <w:rPr>
                <w:sz w:val="20"/>
              </w:rPr>
              <w:t>Common Stock, $0.001 Par Value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bookmarkStart w:id="20" w:name="xdx_902_edei--TradingSymbol_c20240328__2"/>
            <w:bookmarkEnd w:id="20"/>
            <w:r>
              <w:rPr>
                <w:sz w:val="20"/>
              </w:rPr>
              <w:t>OPRX</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1" w:name="xdx_900_edei--SecurityExchangeName_c2024"/>
            <w:bookmarkEnd w:id="21"/>
            <w:r>
              <w:rPr>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3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29, 2024, OptimizeRx Corporation (the “Company”) entered into Amendment No. 1 to the Financing Agreement (the “Amendment”) which amends the Financing Agreement, dated as of October 11, 2023 (as amended, restated, supplemented or otherwise modified from time to time, the “Financing Agreement”) between the Company, </w:t>
      </w:r>
      <w:r>
        <w:rPr>
          <w:rFonts w:ascii="Times New Roman;Times;Serif" w:hAnsi="Times New Roman;Times;Serif"/>
          <w:b w:val="false"/>
          <w:i w:val="false"/>
          <w:caps w:val="false"/>
          <w:smallCaps w:val="false"/>
          <w:sz w:val="20"/>
          <w:shd w:fill="FFFFFF" w:val="clear"/>
        </w:rPr>
        <w:t>the lenders from time to time party thereto (the “Lenders”) and Blue Torch Finance, LLC, a Delaware limited liability company (“Blue Torch”), as collateral agent and administrative agent for the Lenders. The Financing Agreement contains a covenant which required the Company to deliver to the Lenders and Blue Torch its audited financial statements for the fiscal year ended December 31, 2023 by March 30, 2024 (the “Financial Reporting Due Date”). Pursuant to the Amendment, the Lenders and Blue Torch agreed to extend the Financial Reporting Due Date to April 15,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28, 2024, the Company held a conference call to discuss preliminary, unaudited results for the fourth quarter. A transcript of such conference call is furnished herewith as 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presentation included Adjusted EBITDA, a non-GAAP financial measure. The Company defines Adjusted EBITDA as GAAP net income (loss) with an adjustment to add back depreciation, amortization, interest, stock-based compensation, acquisition expenses, severance expense related to a reduction in force, income or loss related to the fair value of contingent consideration, gain or loss from the disposal of a business, asset impairment charges, other income (loss), and deferred income taxes. The Company’s Adjusted EBITDA may not provide information that is directly comparable to that provided by other companies in the Company’s industry, as other companies in the industry may calculate Adjusted EBITDA differently. The Company’s Adjusted EBITDA is not a measurement of financial performance under GAAP and should not be considered as an alternative to net income (loss) or as an indication of operating performance or any other measure of performance derived in accordance with GAAP. The Company does not consider this non-GAAP measure to be a substitute for or superior to the information provided by its GAAP financial results. The Company has provided this non-GAAP financial measure to aid investors in better understanding its performance. Management believes that this non-GAAP financial measure provides additional insight into the operations of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“Reconciliation of Non-GAAP Measures,” furnished herewith as Exhibit 99.2, provides a reconciliation of estimated GAAP net income (loss) and Adjusted EBITDA for the three and twelve months ended December 31, 2023 and 2022. The 2023 GAAP numbers included in the reconciliation table are preliminary and unaudited and are subject to completion of the Company’s financial closing procedures. The Company’s independent registered public accounting firm has not conducted an audit or review of, and does not express an opinion or any other form of assurance with respect to, the preliminary unaudited results. It is possible that the Company or its independent registered public accounting firm may identify items that require the Company to make adjustments to the preliminary estimates of GAAP net income (loss) set forth in the reconciliation table and those changes could be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also provided 2024 guidance for Adjusted EBITDA in the presentation, it is not able to provide guidance to the most directly comparable GAAP measure. Reconciliations for forward-looking figures would require unreasonable efforts at this time because of the uncertainty and variability of the nature and amount of certain components of various necessary GAAP components, including, for example, those related to compensation, acquisition expenses, amortization or others that may arise during the year, and the Company’s management believes such reconciliations would imply a degree of precision that would be confusing or misleading to investors. For the same reasons, the Company is unable to address the probable significance of the unavailable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2.02, in the conference call transcript and the reconciliation table furnished as Exhibit 99.1 and Exhibit 99.2, respectively, to this Current Report on Form 8-K shall not be deemed to be “filed” for purposes of Section 18 of the Securities Exchange Act of 1934, as amended, or otherwise subject to the liabilities of that section or Sections 11 and 12(a)(2) of the Securities Act of 1933, as amended. The information contained in this Item 2.02 shall not be incorporated by reference into any filing with the U.S. Securities and Exchange Commission made by the Company, whether made before or after the date hereof, regardless of any general incorporation language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7285" w:type="dxa"/>
        <w:jc w:val="left"/>
        <w:tblInd w:w="0" w:type="dxa"/>
        <w:tblLayout w:type="fixed"/>
        <w:tblCellMar>
          <w:top w:w="0" w:type="dxa"/>
          <w:left w:w="0" w:type="dxa"/>
          <w:bottom w:w="28" w:type="dxa"/>
          <w:right w:w="0" w:type="dxa"/>
        </w:tblCellMar>
      </w:tblPr>
      <w:tblGrid>
        <w:gridCol w:w="695"/>
        <w:gridCol w:w="60"/>
        <w:gridCol w:w="6530"/>
      </w:tblGrid>
      <w:tr>
        <w:trPr/>
        <w:tc>
          <w:tcPr>
            <w:tcW w:w="695" w:type="dxa"/>
            <w:tcBorders>
              <w:bottom w:val="single" w:sz="12" w:space="0" w:color="000000"/>
            </w:tcBorders>
            <w:vAlign w:val="center"/>
          </w:tcPr>
          <w:p>
            <w:pPr>
              <w:pStyle w:val="TableContents"/>
              <w:bidi w:val="0"/>
              <w:spacing w:before="0" w:after="283"/>
              <w:jc w:val="left"/>
              <w:rPr>
                <w:sz w:val="20"/>
              </w:rPr>
            </w:pPr>
            <w:r>
              <w:rPr>
                <w:sz w:val="20"/>
              </w:rPr>
              <w:t xml:space="preserve">Exhibit </w:t>
              <w:br/>
              <w:t>Number</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12" w:space="0" w:color="000000"/>
            </w:tcBorders>
            <w:vAlign w:val="center"/>
          </w:tcPr>
          <w:p>
            <w:pPr>
              <w:pStyle w:val="TableContents"/>
              <w:bidi w:val="0"/>
              <w:spacing w:before="0" w:after="283"/>
              <w:jc w:val="left"/>
              <w:rPr>
                <w:sz w:val="20"/>
              </w:rPr>
            </w:pPr>
            <w:r>
              <w:rPr>
                <w:sz w:val="20"/>
              </w:rPr>
              <w:t>Description</w:t>
            </w:r>
          </w:p>
        </w:tc>
      </w:tr>
      <w:tr>
        <w:trPr/>
        <w:tc>
          <w:tcPr>
            <w:tcW w:w="695" w:type="dxa"/>
            <w:tcBorders/>
            <w:shd w:fill="CCEEFF" w:val="clear"/>
            <w:tcMar>
              <w:bottom w:w="0" w:type="dxa"/>
            </w:tcMar>
            <w:vAlign w:val="center"/>
          </w:tcPr>
          <w:p>
            <w:pPr>
              <w:pStyle w:val="TableContents"/>
              <w:bidi w:val="0"/>
              <w:spacing w:before="0" w:after="283"/>
              <w:jc w:val="left"/>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30" w:type="dxa"/>
            <w:tcBorders/>
            <w:shd w:fill="CCEEFF" w:val="clear"/>
            <w:tcMar>
              <w:bottom w:w="0" w:type="dxa"/>
            </w:tcMar>
            <w:vAlign w:val="center"/>
          </w:tcPr>
          <w:p>
            <w:pPr>
              <w:pStyle w:val="TableContents"/>
              <w:bidi w:val="0"/>
              <w:spacing w:before="0" w:after="283"/>
              <w:jc w:val="left"/>
              <w:rPr/>
            </w:pPr>
            <w:hyperlink w:anchor="ea020314101ex10-1_optimize.htm">
              <w:r>
                <w:rPr>
                  <w:rStyle w:val="InternetLink"/>
                  <w:sz w:val="20"/>
                </w:rPr>
                <w:t>Amendment No. 1 to Financing Agreement, dated March 29, 2024</w:t>
              </w:r>
            </w:hyperlink>
          </w:p>
        </w:tc>
      </w:tr>
      <w:tr>
        <w:trPr/>
        <w:tc>
          <w:tcPr>
            <w:tcW w:w="69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30" w:type="dxa"/>
            <w:tcBorders/>
            <w:shd w:fill="FFFFFF" w:val="clear"/>
            <w:tcMar>
              <w:bottom w:w="0" w:type="dxa"/>
            </w:tcMar>
            <w:vAlign w:val="center"/>
          </w:tcPr>
          <w:p>
            <w:pPr>
              <w:pStyle w:val="TableContents"/>
              <w:bidi w:val="0"/>
              <w:spacing w:before="0" w:after="0"/>
              <w:ind w:left="0" w:right="0" w:hanging="0"/>
              <w:jc w:val="left"/>
              <w:rPr/>
            </w:pPr>
            <w:hyperlink w:anchor="ea020314101ex99-1_optimize.htm">
              <w:r>
                <w:rPr>
                  <w:rStyle w:val="InternetLink"/>
                  <w:rFonts w:ascii="Times New Roman;Times;Serif" w:hAnsi="Times New Roman;Times;Serif"/>
                  <w:b w:val="false"/>
                  <w:i w:val="false"/>
                  <w:caps w:val="false"/>
                  <w:smallCaps w:val="false"/>
                  <w:sz w:val="20"/>
                </w:rPr>
                <w:t>Transcript of Conference Call, dated March 28, 2024</w:t>
              </w:r>
            </w:hyperlink>
          </w:p>
        </w:tc>
      </w:tr>
      <w:tr>
        <w:trPr/>
        <w:tc>
          <w:tcPr>
            <w:tcW w:w="6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30" w:type="dxa"/>
            <w:tcBorders/>
            <w:shd w:fill="CCEEFF" w:val="clear"/>
            <w:tcMar>
              <w:bottom w:w="0" w:type="dxa"/>
            </w:tcMar>
            <w:vAlign w:val="center"/>
          </w:tcPr>
          <w:p>
            <w:pPr>
              <w:pStyle w:val="TableContents"/>
              <w:bidi w:val="0"/>
              <w:spacing w:before="0" w:after="0"/>
              <w:ind w:left="0" w:right="0" w:hanging="0"/>
              <w:jc w:val="left"/>
              <w:rPr/>
            </w:pPr>
            <w:hyperlink w:anchor="ea020314101ex99-2_optimize.htm">
              <w:r>
                <w:rPr>
                  <w:rStyle w:val="InternetLink"/>
                  <w:rFonts w:ascii="Times New Roman;Times;Serif" w:hAnsi="Times New Roman;Times;Serif"/>
                  <w:b w:val="false"/>
                  <w:i w:val="false"/>
                  <w:caps w:val="false"/>
                  <w:smallCaps w:val="false"/>
                  <w:sz w:val="20"/>
                </w:rPr>
                <w:t>Reconciliation of Non-GAAP Measures</w:t>
              </w:r>
            </w:hyperlink>
          </w:p>
        </w:tc>
      </w:tr>
      <w:tr>
        <w:trPr/>
        <w:tc>
          <w:tcPr>
            <w:tcW w:w="695"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30" w:type="dxa"/>
            <w:tcBorders/>
            <w:shd w:fill="FFFFFF"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4404" w:type="dxa"/>
        <w:jc w:val="left"/>
        <w:tblInd w:w="0" w:type="dxa"/>
        <w:tblLayout w:type="fixed"/>
        <w:tblCellMar>
          <w:top w:w="0" w:type="dxa"/>
          <w:left w:w="0" w:type="dxa"/>
          <w:bottom w:w="0" w:type="dxa"/>
          <w:right w:w="0" w:type="dxa"/>
        </w:tblCellMar>
      </w:tblPr>
      <w:tblGrid>
        <w:gridCol w:w="1595"/>
        <w:gridCol w:w="705"/>
        <w:gridCol w:w="2104"/>
      </w:tblGrid>
      <w:tr>
        <w:trPr/>
        <w:tc>
          <w:tcPr>
            <w:tcW w:w="1595" w:type="dxa"/>
            <w:tcBorders/>
            <w:vAlign w:val="center"/>
          </w:tcPr>
          <w:p>
            <w:pPr>
              <w:pStyle w:val="TableContents"/>
              <w:bidi w:val="0"/>
              <w:spacing w:before="0" w:after="283"/>
              <w:jc w:val="left"/>
              <w:rPr/>
            </w:pPr>
            <w:r>
              <w:rPr/>
              <w:t> </w:t>
            </w:r>
          </w:p>
        </w:tc>
        <w:tc>
          <w:tcPr>
            <w:tcW w:w="2809" w:type="dxa"/>
            <w:gridSpan w:val="2"/>
            <w:tcBorders/>
            <w:vAlign w:val="center"/>
          </w:tcPr>
          <w:p>
            <w:pPr>
              <w:pStyle w:val="TableContents"/>
              <w:bidi w:val="0"/>
              <w:spacing w:before="0" w:after="283"/>
              <w:jc w:val="left"/>
              <w:rPr>
                <w:b/>
                <w:sz w:val="20"/>
              </w:rPr>
            </w:pPr>
            <w:r>
              <w:rPr>
                <w:b/>
                <w:sz w:val="20"/>
              </w:rPr>
              <w:t>OPTIMIZERX CORPORATION</w:t>
            </w:r>
          </w:p>
        </w:tc>
      </w:tr>
      <w:tr>
        <w:trPr/>
        <w:tc>
          <w:tcPr>
            <w:tcW w:w="159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left"/>
              <w:rPr/>
            </w:pPr>
            <w:r>
              <w:rPr/>
              <w:t> </w:t>
            </w:r>
          </w:p>
        </w:tc>
        <w:tc>
          <w:tcPr>
            <w:tcW w:w="2104"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sz w:val="20"/>
              </w:rPr>
            </w:pPr>
            <w:r>
              <w:rPr>
                <w:sz w:val="20"/>
              </w:rPr>
              <w:t>Date: April 2, 2024</w:t>
            </w:r>
          </w:p>
        </w:tc>
        <w:tc>
          <w:tcPr>
            <w:tcW w:w="705" w:type="dxa"/>
            <w:tcBorders/>
            <w:vAlign w:val="center"/>
          </w:tcPr>
          <w:p>
            <w:pPr>
              <w:pStyle w:val="TableContents"/>
              <w:bidi w:val="0"/>
              <w:spacing w:before="0" w:after="283"/>
              <w:jc w:val="left"/>
              <w:rPr>
                <w:sz w:val="20"/>
              </w:rPr>
            </w:pPr>
            <w:r>
              <w:rPr>
                <w:sz w:val="20"/>
              </w:rPr>
              <w:t xml:space="preserve">By: </w:t>
            </w:r>
          </w:p>
        </w:tc>
        <w:tc>
          <w:tcPr>
            <w:tcW w:w="2104"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Edward Stelmakh</w:t>
            </w:r>
          </w:p>
        </w:tc>
      </w:tr>
      <w:tr>
        <w:trPr/>
        <w:tc>
          <w:tcPr>
            <w:tcW w:w="1595" w:type="dxa"/>
            <w:tcBorders/>
            <w:vAlign w:val="center"/>
          </w:tcPr>
          <w:p>
            <w:pPr>
              <w:pStyle w:val="TableContents"/>
              <w:bidi w:val="0"/>
              <w:spacing w:before="0" w:after="283"/>
              <w:jc w:val="both"/>
              <w:rPr/>
            </w:pPr>
            <w:r>
              <w:rPr/>
              <w:t> </w:t>
            </w:r>
          </w:p>
        </w:tc>
        <w:tc>
          <w:tcPr>
            <w:tcW w:w="705" w:type="dxa"/>
            <w:tcBorders/>
            <w:vAlign w:val="center"/>
          </w:tcPr>
          <w:p>
            <w:pPr>
              <w:pStyle w:val="TableContents"/>
              <w:bidi w:val="0"/>
              <w:spacing w:before="0" w:after="283"/>
              <w:jc w:val="both"/>
              <w:rPr>
                <w:sz w:val="20"/>
              </w:rPr>
            </w:pPr>
            <w:r>
              <w:rPr>
                <w:sz w:val="20"/>
              </w:rPr>
              <w:t xml:space="preserve">Name:  </w:t>
            </w:r>
          </w:p>
        </w:tc>
        <w:tc>
          <w:tcPr>
            <w:tcW w:w="2104" w:type="dxa"/>
            <w:tcBorders/>
            <w:vAlign w:val="center"/>
          </w:tcPr>
          <w:p>
            <w:pPr>
              <w:pStyle w:val="TableContents"/>
              <w:bidi w:val="0"/>
              <w:spacing w:before="0" w:after="283"/>
              <w:jc w:val="both"/>
              <w:rPr>
                <w:sz w:val="20"/>
              </w:rPr>
            </w:pPr>
            <w:r>
              <w:rPr>
                <w:sz w:val="20"/>
              </w:rPr>
              <w:t>Edward Stelmakh</w:t>
            </w:r>
          </w:p>
        </w:tc>
      </w:tr>
      <w:tr>
        <w:trPr/>
        <w:tc>
          <w:tcPr>
            <w:tcW w:w="159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left"/>
              <w:rPr>
                <w:sz w:val="20"/>
              </w:rPr>
            </w:pPr>
            <w:r>
              <w:rPr>
                <w:sz w:val="20"/>
              </w:rPr>
              <w:t xml:space="preserve">Title: </w:t>
            </w:r>
          </w:p>
        </w:tc>
        <w:tc>
          <w:tcPr>
            <w:tcW w:w="2104"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ea020314101ex10-1_optimize.htm"/>
      <w:bookmarkStart w:id="24" w:name="ksea020314101ex101_optimize"/>
      <w:bookmarkEnd w:id="23"/>
      <w:bookmarkEnd w:id="24"/>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FINANCING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AMENDMENT NO. 1 TO FINANCING AGREEMENT</w:t>
      </w:r>
      <w:r>
        <w:rPr>
          <w:rFonts w:ascii="Times New Roman;Times;Serif" w:hAnsi="Times New Roman;Times;Serif"/>
          <w:b w:val="false"/>
          <w:i w:val="false"/>
          <w:caps w:val="false"/>
          <w:smallCaps w:val="false"/>
          <w:sz w:val="20"/>
        </w:rPr>
        <w:t>, dated as of March 29, 2024 (this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to the Financing Agreement, dated as of October 11, 2023 (as amended, restated, supplemented or otherwise modified from time to time, including by that certain Joinder Agreement, dated as of October 24, 2023, by and among the Lead Borrower (as defined below), Orion Merger Sub, Inc.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and the Collateral Agent (as defined below) and that certain Joinder and Assumption Agreement, dated as of October 25, 2023, by and among the Lead Borrower, Merger Sub, Healthy Offers, Inc. and the Collateral Agent, the “</w:t>
      </w:r>
      <w:r>
        <w:rPr>
          <w:rFonts w:ascii="Times New Roman;Times;Serif" w:hAnsi="Times New Roman;Times;Serif"/>
          <w:b w:val="false"/>
          <w:i w:val="false"/>
          <w:caps w:val="false"/>
          <w:smallCaps w:val="false"/>
          <w:sz w:val="20"/>
          <w:u w:val="single"/>
        </w:rPr>
        <w:t>Financing Agreement</w:t>
      </w:r>
      <w:r>
        <w:rPr>
          <w:rFonts w:ascii="Times New Roman;Times;Serif" w:hAnsi="Times New Roman;Times;Serif"/>
          <w:b w:val="false"/>
          <w:i w:val="false"/>
          <w:caps w:val="false"/>
          <w:smallCaps w:val="false"/>
          <w:sz w:val="20"/>
        </w:rPr>
        <w:t>”), by and among OptimizeRx Corporation (the “</w:t>
      </w:r>
      <w:r>
        <w:rPr>
          <w:rFonts w:ascii="Times New Roman;Times;Serif" w:hAnsi="Times New Roman;Times;Serif"/>
          <w:b w:val="false"/>
          <w:i w:val="false"/>
          <w:caps w:val="false"/>
          <w:smallCaps w:val="false"/>
          <w:sz w:val="20"/>
          <w:u w:val="single"/>
        </w:rPr>
        <w:t>Lead Borrower</w:t>
      </w:r>
      <w:r>
        <w:rPr>
          <w:rFonts w:ascii="Times New Roman;Times;Serif" w:hAnsi="Times New Roman;Times;Serif"/>
          <w:b w:val="false"/>
          <w:i w:val="false"/>
          <w:caps w:val="false"/>
          <w:smallCaps w:val="false"/>
          <w:sz w:val="20"/>
        </w:rPr>
        <w:t>”), the lenders from time to time party thereto (each a “</w:t>
      </w:r>
      <w:r>
        <w:rPr>
          <w:rFonts w:ascii="Times New Roman;Times;Serif" w:hAnsi="Times New Roman;Times;Serif"/>
          <w:b w:val="false"/>
          <w:i w:val="false"/>
          <w:caps w:val="false"/>
          <w:smallCaps w:val="false"/>
          <w:sz w:val="20"/>
          <w:u w:val="single"/>
        </w:rPr>
        <w:t>Lender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and Blue Torch Finance, LLC (“</w:t>
      </w:r>
      <w:r>
        <w:rPr>
          <w:rFonts w:ascii="Times New Roman;Times;Serif" w:hAnsi="Times New Roman;Times;Serif"/>
          <w:b w:val="false"/>
          <w:i w:val="false"/>
          <w:caps w:val="false"/>
          <w:smallCaps w:val="false"/>
          <w:sz w:val="20"/>
          <w:u w:val="single"/>
        </w:rPr>
        <w:t>Blue Torch</w:t>
      </w:r>
      <w:r>
        <w:rPr>
          <w:rFonts w:ascii="Times New Roman;Times;Serif" w:hAnsi="Times New Roman;Times;Serif"/>
          <w:b w:val="false"/>
          <w:i w:val="false"/>
          <w:caps w:val="false"/>
          <w:smallCaps w:val="false"/>
          <w:sz w:val="20"/>
        </w:rPr>
        <w:t>”), as collateral agent for the Lenders (in such capacity, together with its successors and assigns in such capacity, the “</w:t>
      </w:r>
      <w:r>
        <w:rPr>
          <w:rFonts w:ascii="Times New Roman;Times;Serif" w:hAnsi="Times New Roman;Times;Serif"/>
          <w:b w:val="false"/>
          <w:i w:val="false"/>
          <w:caps w:val="false"/>
          <w:smallCaps w:val="false"/>
          <w:sz w:val="20"/>
          <w:u w:val="single"/>
        </w:rPr>
        <w:t>Collateral Agent</w:t>
      </w:r>
      <w:r>
        <w:rPr>
          <w:rFonts w:ascii="Times New Roman;Times;Serif" w:hAnsi="Times New Roman;Times;Serif"/>
          <w:b w:val="false"/>
          <w:i w:val="false"/>
          <w:caps w:val="false"/>
          <w:smallCaps w:val="false"/>
          <w:sz w:val="20"/>
        </w:rPr>
        <w:t>”), and Blue Torch, as administrative agent for the Lenders (in such capacity, together with its successors and assigns in such capacity, the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and together with the Collateral Agent, each an “</w:t>
      </w: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Agents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Section 7.1(a)(iii) of the Financing Agreement, the Borrower is required to deliver to each Agent and each Lender no later than March 30, 2024 (the “</w:t>
      </w:r>
      <w:r>
        <w:rPr>
          <w:rFonts w:ascii="Times New Roman;Times;Serif" w:hAnsi="Times New Roman;Times;Serif"/>
          <w:b w:val="false"/>
          <w:i w:val="false"/>
          <w:caps w:val="false"/>
          <w:smallCaps w:val="false"/>
          <w:sz w:val="20"/>
          <w:u w:val="single"/>
        </w:rPr>
        <w:t>Financial Reporting Due Date</w:t>
      </w:r>
      <w:r>
        <w:rPr>
          <w:rFonts w:ascii="Times New Roman;Times;Serif" w:hAnsi="Times New Roman;Times;Serif"/>
          <w:b w:val="false"/>
          <w:i w:val="false"/>
          <w:caps w:val="false"/>
          <w:smallCaps w:val="false"/>
          <w:sz w:val="20"/>
        </w:rPr>
        <w:t>”), with respect to the fiscal year ended December 31, 2023, among other things, consolidated balance sheets of the Lead Borrower and the Subsidiaries, consolidated balance sheets, statements of operations, statements of changes in stockholders’ equity and statements of cash flows for the Lead Borrower and its Subsidiaries as at the end of such Fiscal Year, together with (i) the Projections, (ii) and a report and an opinion of independent certified public accountants of recognized standing and (iii) a Compliance Certificate;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Loan Parties have requested, and, subject to the following conditions and notwithstanding anything to the contrary in the Financing Agreement, the Agents and the Required Lenders have agreed to extend the Financial Reporting Due Date to April 15, 2024 (the “</w:t>
      </w:r>
      <w:r>
        <w:rPr>
          <w:rFonts w:ascii="Times New Roman;Times;Serif" w:hAnsi="Times New Roman;Times;Serif"/>
          <w:b w:val="false"/>
          <w:i w:val="false"/>
          <w:caps w:val="false"/>
          <w:smallCaps w:val="false"/>
          <w:sz w:val="20"/>
          <w:u w:val="single"/>
        </w:rPr>
        <w:t>Extension</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other good and valuable consideration, the receipt and sufficiency of which are hereby acknowledged, the parties hereto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All terms used herein that are defined in the Financing Agreement and not otherwise defined herein shall have the meanings assigned to them in the Financing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Extension</w:t>
      </w:r>
      <w:r>
        <w:rPr>
          <w:rFonts w:ascii="Times New Roman;Times;Serif" w:hAnsi="Times New Roman;Times;Serif"/>
          <w:b w:val="false"/>
          <w:i w:val="false"/>
          <w:caps w:val="false"/>
          <w:smallCaps w:val="false"/>
          <w:sz w:val="20"/>
        </w:rPr>
        <w:t>. Subject to the terms and conditions contained herein, the Agents and the Required Lenders hereby agree to extend the Financial Reporting Due Date to April 15,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Each Loan Party hereby represents and warrants to the Agents and the Lenders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Representations and Warranties; No Event of Default</w:t>
      </w:r>
      <w:r>
        <w:rPr>
          <w:rFonts w:ascii="Times New Roman;Times;Serif" w:hAnsi="Times New Roman;Times;Serif"/>
          <w:b w:val="false"/>
          <w:i w:val="false"/>
          <w:caps w:val="false"/>
          <w:smallCaps w:val="false"/>
          <w:sz w:val="20"/>
        </w:rPr>
        <w:t>. The representations and warranties herein, in Article VI of the Financing Agreement and in each other Loan Document, certificate or other writing delivered by or on behalf of the Loan Parties to any Agent or any Lender pursuant to the Financing Agreement or any other Loan Document on or immediately prior to the Amendment Effective Date are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date as though made on and as of such date, except to the extent that any such representation or warranty expressly relates solely to an earlier date (in which case such representation or warranty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 and no Default or Event of Default has occurred and is continuing as of the Amendment Effective Date or would result from this Amendment becoming effective in accordance with its terms.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Organization, Good Standing, Etc.</w:t>
      </w:r>
      <w:r>
        <w:rPr>
          <w:rFonts w:ascii="Times New Roman;Times;Serif" w:hAnsi="Times New Roman;Times;Serif"/>
          <w:b w:val="false"/>
          <w:i w:val="false"/>
          <w:caps w:val="false"/>
          <w:smallCaps w:val="false"/>
          <w:sz w:val="20"/>
        </w:rPr>
        <w:t xml:space="preserve"> Each Loan Party (i) is a corporation, limited liability company or limited partnership duly organized, validly existing and in good standing under the laws of the jurisdiction of its organization, (ii) has all requisite power and authority to conduct its business as now conducted and as presently contemplated, and to execute and deliver this Amendment, and to consummate the transactions contemplated hereby and by the Financing Agreement, as amended hereby, and (iii) is duly qualified to do business in, and is in good standing in each jurisdiction where the character of the properties owned or leased by it or in which the transaction of its business makes such qualification necessary except (solely for the purposes of this subclause (iii)) where the failure to be so qualified and be in good standing could not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Authorization, Etc.</w:t>
      </w:r>
      <w:r>
        <w:rPr>
          <w:rFonts w:ascii="Times New Roman;Times;Serif" w:hAnsi="Times New Roman;Times;Serif"/>
          <w:b w:val="false"/>
          <w:i w:val="false"/>
          <w:caps w:val="false"/>
          <w:smallCaps w:val="false"/>
          <w:sz w:val="20"/>
        </w:rPr>
        <w:t xml:space="preserve"> The execution and delivery by each Loan Party of this Amendment and each other Loan Document to which it is or will be a party, and the performance by it of the Financing Agreement, as amended hereby, (i) are within the power and authority of such Loan Party and have been duly authorized by all necessary action, (ii) do not and will not contravene any of its Governing Documents, (iii) do not and will not result in or require the creation of any Lien (other than pursuant to any Loan Document) upon or with respect to any of its properties, (iv) do not and will not result in any default, noncompliance, suspension, revocation, impairment, forfeiture or nonrenewal of any permit, license, authorization or approval applicable to its operations or any of its properties, except (solely for the purposes of this subclause (iv)) to the extent that such default, noncompliance, suspension, revocation, impairment, forfeiture or nonrenewal could not reasonably be expected to have a Material Adverse Effect and (v) do not contravene any applicable Requirement of Law or any Contractual Obligation binding on or otherwise affecting it or any of its properties, except (solely for the purposes of this subclause (v)) to the extent it could not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Enforceability of Loan Documents</w:t>
      </w:r>
      <w:r>
        <w:rPr>
          <w:rFonts w:ascii="Times New Roman;Times;Serif" w:hAnsi="Times New Roman;Times;Serif"/>
          <w:b w:val="false"/>
          <w:i w:val="false"/>
          <w:caps w:val="false"/>
          <w:smallCaps w:val="false"/>
          <w:sz w:val="20"/>
        </w:rPr>
        <w:t>. This Amendment is, and each other Loan Document to which any Loan Party is or will be a party, when delivered hereunder, will be, a legal, valid and binding obligation of such Person, enforceable against such Person in accordance with its terms, except as enforceability may be limited by applicable bankruptcy, insolvency, reorganization, moratorium or other similar laws affecting creditors’ rights generally and by principles of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Governmental Approvals</w:t>
      </w:r>
      <w:r>
        <w:rPr>
          <w:rFonts w:ascii="Times New Roman;Times;Serif" w:hAnsi="Times New Roman;Times;Serif"/>
          <w:b w:val="false"/>
          <w:i w:val="false"/>
          <w:caps w:val="false"/>
          <w:smallCaps w:val="false"/>
          <w:sz w:val="20"/>
        </w:rPr>
        <w:t>. No authorization or approval or other action by, and no notice to or filing with, any Governmental Authority is required in connection with the due execution, delivery and performance by any Loan Party of any Loan Document to which it is or will be a party.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Conditions to Effectiveness</w:t>
      </w:r>
      <w:r>
        <w:rPr>
          <w:rFonts w:ascii="Times New Roman;Times;Serif" w:hAnsi="Times New Roman;Times;Serif"/>
          <w:b w:val="false"/>
          <w:i w:val="false"/>
          <w:caps w:val="false"/>
          <w:smallCaps w:val="false"/>
          <w:sz w:val="20"/>
        </w:rPr>
        <w:t>. This Amendment shall become effective only upon satisfaction in full, in a manner satisfactory to the Agents, of the following conditions precedent (the first date upon which all such conditions shall have been satisfied being hereinafter referred to as the “Amendment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Payment of Fees, Etc</w:t>
      </w:r>
      <w:r>
        <w:rPr>
          <w:rFonts w:ascii="Times New Roman;Times;Serif" w:hAnsi="Times New Roman;Times;Serif"/>
          <w:b w:val="false"/>
          <w:i w:val="false"/>
          <w:caps w:val="false"/>
          <w:smallCaps w:val="false"/>
          <w:sz w:val="20"/>
        </w:rPr>
        <w:t>. The Borrowers shall have paid on or before the Amendment Effective Date all fees, costs, expenses and taxes then payable, if any, pursuant to Section 2.06 or 12.04 of the Financing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Delivery of Documents</w:t>
      </w:r>
      <w:r>
        <w:rPr>
          <w:rFonts w:ascii="Times New Roman;Times;Serif" w:hAnsi="Times New Roman;Times;Serif"/>
          <w:b w:val="false"/>
          <w:i w:val="false"/>
          <w:caps w:val="false"/>
          <w:smallCaps w:val="false"/>
          <w:sz w:val="20"/>
        </w:rPr>
        <w:t>. The Collateral Agent shall have received on or before the Amendment Effective Date a copy of this Amendment, duly executed by the Loan Parties, each Agent and the Required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Continued Effectiveness of the Financing Agreement and Other Loan Documents</w:t>
      </w:r>
      <w:r>
        <w:rPr>
          <w:rFonts w:ascii="Times New Roman;Times;Serif" w:hAnsi="Times New Roman;Times;Serif"/>
          <w:b w:val="false"/>
          <w:i w:val="false"/>
          <w:caps w:val="false"/>
          <w:smallCaps w:val="false"/>
          <w:sz w:val="20"/>
        </w:rPr>
        <w:t>. Each Loan Party hereby (a) acknowledges and consents to this Amendment, (b) confirms and agrees that the Financing Agreement and each other Loan Document to which it is a party is, and shall continue to be, in full force and effect and is hereby ratified and confirmed in all respects, except that on and after the Amendment Effective Date, all references in any such Loan Document to “the Financing Agreement”, the “Agreement”, “thereto”, “thereof”, “thereunder” or words of like import referring to the Financing Agreement shall mean the Financing Agreement as amended by this Amendment, and (c) confirms and agrees that, to the extent that any such Loan Document purports to assign or pledge to the Collateral Agent, for the benefit of the Agents and the Lenders, or to grant to the Collateral Agent, for the benefit of the Agents and the Lenders, a security interest in or Lien on any Collateral as security for the Obligations of the Loan Parties from time to time existing in respect of the Financing Agreement (as amended hereby) and the other Loan Documents, such pledge, assignment and/or grant of the security interest or Lien is hereby ratified and confirmed in all respects. This Amendment does not and shall not affect any of the obligations of the Loan Parties, other than as expressly provided herein, including, without limitation, the Loan Parties’ obligations to repay the Loans in accordance with the terms of Financing Agreement or the obligations of the Loan Parties under any Loan Document to which they are a party, all of which obligations shall remain in full force and effect. Except as expressly provided herein, the execution, delivery and effectiveness of this Amendment shall not operate as a waiver of any right, power or remedy of any Agent or any Lender under the Financing Agreement or any other Loan Document nor constitute a waiver of any provision of the Financing Agreement or any other Loan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No Novation</w:t>
      </w:r>
      <w:r>
        <w:rPr>
          <w:rFonts w:ascii="Times New Roman;Times;Serif" w:hAnsi="Times New Roman;Times;Serif"/>
          <w:b w:val="false"/>
          <w:i w:val="false"/>
          <w:caps w:val="false"/>
          <w:smallCaps w:val="false"/>
          <w:sz w:val="20"/>
        </w:rPr>
        <w:t>. Nothing herein contained shall be construed as a substitution or novation of the Obligations outstanding under the Financing Agreement or instruments securing the same, which shall remain in full force and effect, except as modified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No Representations by Agents or Lenders</w:t>
      </w:r>
      <w:r>
        <w:rPr>
          <w:rFonts w:ascii="Times New Roman;Times;Serif" w:hAnsi="Times New Roman;Times;Serif"/>
          <w:b w:val="false"/>
          <w:i w:val="false"/>
          <w:caps w:val="false"/>
          <w:smallCaps w:val="false"/>
          <w:sz w:val="20"/>
        </w:rPr>
        <w:t>. Each Loan Party hereby acknowledges that it has not relied on any representation, written or oral, express or implied, by any Agent or any Lender, other than those expressly contained herein, in entering into this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Each Loan Party hereby acknowledges and agrees that: (a) neither it nor any of its Subsidiaries has any claim or cause of action against any Agent or any Lender (or any of the directors, officers, employees, agents, attorneys or consultants of any of the foregoing), and (b) the Agents and the Lenders have heretofore properly performed and satisfied in a timely manner all of their obligations to the Loan Parties, and all of their Subsidiaries and Affiliates. Notwithstanding the foregoing, the Agents and the Lenders wish (and the Loan Parties agree) to eliminate any possibility that any past conditions, acts, omissions, events or circumstances would impair or otherwise adversely affect any of their rights, interests, security and/or remedies. Accordingly, for and in consideration of the agreements contained in this Amendment and other good and valuable consideration, each Loan Party (for itself and its Subsidiaries and Affiliates and the successors, assigns, heirs and representatives of each of the foregoing) (collectively, the “</w:t>
      </w:r>
      <w:r>
        <w:rPr>
          <w:rFonts w:ascii="Times New Roman;Times;Serif" w:hAnsi="Times New Roman;Times;Serif"/>
          <w:b w:val="false"/>
          <w:i w:val="false"/>
          <w:caps w:val="false"/>
          <w:smallCaps w:val="false"/>
          <w:sz w:val="20"/>
          <w:u w:val="single"/>
        </w:rPr>
        <w:t>Releasors</w:t>
      </w:r>
      <w:r>
        <w:rPr>
          <w:rFonts w:ascii="Times New Roman;Times;Serif" w:hAnsi="Times New Roman;Times;Serif"/>
          <w:b w:val="false"/>
          <w:i w:val="false"/>
          <w:caps w:val="false"/>
          <w:smallCaps w:val="false"/>
          <w:sz w:val="20"/>
        </w:rPr>
        <w:t>”) does hereby fully, finally, unconditionally and irrevocably release, waive and forever discharge the Agents and the Lenders, together with their respective Affiliates and Related Funds, and each of the directors, officers, employees, agents, attorneys and consultants of each of the foregoing (collectively, the “</w:t>
      </w:r>
      <w:r>
        <w:rPr>
          <w:rFonts w:ascii="Times New Roman;Times;Serif" w:hAnsi="Times New Roman;Times;Serif"/>
          <w:b w:val="false"/>
          <w:i w:val="false"/>
          <w:caps w:val="false"/>
          <w:smallCaps w:val="false"/>
          <w:sz w:val="20"/>
          <w:u w:val="single"/>
        </w:rPr>
        <w:t>Released Parties</w:t>
      </w:r>
      <w:r>
        <w:rPr>
          <w:rFonts w:ascii="Times New Roman;Times;Serif" w:hAnsi="Times New Roman;Times;Serif"/>
          <w:b w:val="false"/>
          <w:i w:val="false"/>
          <w:caps w:val="false"/>
          <w:smallCaps w:val="false"/>
          <w:sz w:val="20"/>
        </w:rPr>
        <w:t>”), from any and all debts, claims, allegations, obligations, damages, costs, attorneys’ fees, suits, demands, liabilities, actions, proceedings and causes of action, in each case, whether known or unknown, contingent or fixed, direct or indirect, and of whatever nature or description, and whether in law or in equity, under contract, tort, statute or otherwise, which any Releasor has heretofore had or now or hereafter can, shall or may have against any Released Party by reason of any act, omission or thing whatsoever done or omitted to be done, in each case, on or prior to the Amendment Effective Date directly arising out of, connected with or related to this Amendment, the Financing Agreement or any other Loan Document, or any act, event or transaction related or attendant thereto, or the agreements of any Agent or any Lender contained therein, or the possession, use, operation or control of any of the assets of any Loan Party, or the making of any Loans or other advances, or the management of such Loans or other advances or the Collateral. Each Loan Party represents and warrants that it has no knowledge of any claim by any Releasor against any Released Party or of any facts or acts or omissions of any Released Party which on the date hereof would be the basis of a claim by any Releasor against any Released Party which would not be released 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xml:space="preserve"> The Loan Parties shall execute any and all further documents, agreements and instruments, and take all further actions, as may be required under Applicable Law or as any Agent may reasonably request, in order to effect the purposes of this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Amendment may be executed in any number of counterparts and by different parties hereto in separate counterparts, each of which shall be deemed to be an original but all of which taken together shall constitute one and the same agreement. Delivery of an executed counterpart of this Amendment by facsimile or electronic mail shall be equally effective as delivery of an original executed counterpart of this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Section and paragraph headings herein are included for convenience of reference only and shall not constitute a part of this Amendment for any other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Amendment shall be governed by, and construed in accordance with, the laws of the State of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Loan Party hereby acknowledges and agrees that this Amendment constitutes a “Loan Document” under the Financing Agreement. Accordingly, it shall be an immediate Event of Default under the Financing Agreement if (i) any representation or warranty made by any Loan Party under or in connection with this Amendment shall have been incorrect in any respect when made or deemed made, or (ii) any Loan Party shall fail to perform or observe any term, covenant or agreement contained in this Amendment.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provision of this Amendment that is prohibited or unenforceable in any jurisdiction shall, as to such jurisdiction, be ineffective to the extent of such prohibition or unenforceability without invalidating the remaining portions hereof or affecting the validity or enforceability of such provision in any other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Amendment to be executed and delivered as of the date set forth on the first page hereof.</w:t>
      </w:r>
    </w:p>
    <w:p>
      <w:pPr>
        <w:pStyle w:val="TextBody"/>
        <w:bidi w:val="0"/>
        <w:spacing w:before="0" w:after="0"/>
        <w:ind w:left="0" w:right="0" w:hanging="0"/>
        <w:jc w:val="both"/>
        <w:rPr>
          <w:caps w:val="false"/>
          <w:smallCaps w:val="false"/>
        </w:rPr>
      </w:pPr>
      <w:r>
        <w:rPr>
          <w:caps w:val="false"/>
          <w:smallCaps w:val="false"/>
        </w:rPr>
        <w:t> </w:t>
      </w:r>
    </w:p>
    <w:tbl>
      <w:tblPr>
        <w:tblW w:w="2689" w:type="dxa"/>
        <w:jc w:val="left"/>
        <w:tblInd w:w="0" w:type="dxa"/>
        <w:tblLayout w:type="fixed"/>
        <w:tblCellMar>
          <w:top w:w="0" w:type="dxa"/>
          <w:left w:w="0" w:type="dxa"/>
          <w:bottom w:w="0" w:type="dxa"/>
          <w:right w:w="0" w:type="dxa"/>
        </w:tblCellMar>
      </w:tblPr>
      <w:tblGrid>
        <w:gridCol w:w="75"/>
        <w:gridCol w:w="634"/>
        <w:gridCol w:w="1980"/>
      </w:tblGrid>
      <w:tr>
        <w:trPr/>
        <w:tc>
          <w:tcPr>
            <w:tcW w:w="75" w:type="dxa"/>
            <w:tcBorders/>
            <w:vAlign w:val="center"/>
          </w:tcPr>
          <w:p>
            <w:pPr>
              <w:pStyle w:val="TableContents"/>
              <w:bidi w:val="0"/>
              <w:spacing w:before="0" w:after="283"/>
              <w:jc w:val="both"/>
              <w:rPr/>
            </w:pPr>
            <w:r>
              <w:rPr/>
              <w:t> </w:t>
            </w:r>
          </w:p>
        </w:tc>
        <w:tc>
          <w:tcPr>
            <w:tcW w:w="2614"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BORROWERS:</w:t>
            </w:r>
          </w:p>
        </w:tc>
      </w:tr>
      <w:tr>
        <w:trPr/>
        <w:tc>
          <w:tcPr>
            <w:tcW w:w="75" w:type="dxa"/>
            <w:tcBorders/>
            <w:vAlign w:val="center"/>
          </w:tcPr>
          <w:p>
            <w:pPr>
              <w:pStyle w:val="TableContents"/>
              <w:bidi w:val="0"/>
              <w:spacing w:before="0" w:after="283"/>
              <w:jc w:val="both"/>
              <w:rPr/>
            </w:pPr>
            <w:r>
              <w:rPr/>
              <w:t> </w:t>
            </w:r>
          </w:p>
        </w:tc>
        <w:tc>
          <w:tcPr>
            <w:tcW w:w="261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614"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OPTIMIZERX CORPORATION</w:t>
            </w:r>
          </w:p>
        </w:tc>
      </w:tr>
      <w:tr>
        <w:trPr/>
        <w:tc>
          <w:tcPr>
            <w:tcW w:w="75" w:type="dxa"/>
            <w:tcBorders/>
            <w:vAlign w:val="center"/>
          </w:tcPr>
          <w:p>
            <w:pPr>
              <w:pStyle w:val="TableContents"/>
              <w:bidi w:val="0"/>
              <w:spacing w:before="0" w:after="283"/>
              <w:jc w:val="both"/>
              <w:rPr/>
            </w:pPr>
            <w:r>
              <w:rPr/>
              <w:t> </w:t>
            </w:r>
          </w:p>
        </w:tc>
        <w:tc>
          <w:tcPr>
            <w:tcW w:w="261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center"/>
              <w:rPr/>
            </w:pPr>
            <w:r>
              <w:rPr/>
              <w:t> </w:t>
            </w:r>
          </w:p>
        </w:tc>
        <w:tc>
          <w:tcPr>
            <w:tcW w:w="6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198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Edward Stelmakh</w:t>
            </w:r>
          </w:p>
        </w:tc>
      </w:tr>
      <w:tr>
        <w:trPr/>
        <w:tc>
          <w:tcPr>
            <w:tcW w:w="75" w:type="dxa"/>
            <w:tcBorders/>
            <w:vAlign w:val="center"/>
          </w:tcPr>
          <w:p>
            <w:pPr>
              <w:pStyle w:val="TableContents"/>
              <w:bidi w:val="0"/>
              <w:spacing w:before="0" w:after="283"/>
              <w:jc w:val="both"/>
              <w:rPr/>
            </w:pPr>
            <w:r>
              <w:rPr/>
              <w:t> </w:t>
            </w:r>
          </w:p>
        </w:tc>
        <w:tc>
          <w:tcPr>
            <w:tcW w:w="6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1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Edward Stelmakh</w:t>
            </w:r>
          </w:p>
        </w:tc>
      </w:tr>
      <w:tr>
        <w:trPr/>
        <w:tc>
          <w:tcPr>
            <w:tcW w:w="75" w:type="dxa"/>
            <w:tcBorders/>
            <w:vAlign w:val="center"/>
          </w:tcPr>
          <w:p>
            <w:pPr>
              <w:pStyle w:val="TableContents"/>
              <w:bidi w:val="0"/>
              <w:spacing w:before="0" w:after="283"/>
              <w:jc w:val="both"/>
              <w:rPr/>
            </w:pPr>
            <w:r>
              <w:rPr/>
              <w:t> </w:t>
            </w:r>
          </w:p>
        </w:tc>
        <w:tc>
          <w:tcPr>
            <w:tcW w:w="6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1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CFO/CCO</w:t>
            </w:r>
          </w:p>
        </w:tc>
      </w:tr>
      <w:tr>
        <w:trPr/>
        <w:tc>
          <w:tcPr>
            <w:tcW w:w="75" w:type="dxa"/>
            <w:tcBorders/>
            <w:vAlign w:val="center"/>
          </w:tcPr>
          <w:p>
            <w:pPr>
              <w:pStyle w:val="TableContents"/>
              <w:bidi w:val="0"/>
              <w:spacing w:before="0" w:after="283"/>
              <w:jc w:val="both"/>
              <w:rPr/>
            </w:pPr>
            <w:r>
              <w:rPr/>
              <w:t> </w:t>
            </w:r>
          </w:p>
        </w:tc>
        <w:tc>
          <w:tcPr>
            <w:tcW w:w="261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614"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HEALTHY OFFERS, INC.</w:t>
            </w:r>
          </w:p>
        </w:tc>
      </w:tr>
      <w:tr>
        <w:trPr/>
        <w:tc>
          <w:tcPr>
            <w:tcW w:w="75" w:type="dxa"/>
            <w:tcBorders/>
            <w:vAlign w:val="center"/>
          </w:tcPr>
          <w:p>
            <w:pPr>
              <w:pStyle w:val="TableContents"/>
              <w:bidi w:val="0"/>
              <w:spacing w:before="0" w:after="283"/>
              <w:jc w:val="both"/>
              <w:rPr/>
            </w:pPr>
            <w:r>
              <w:rPr/>
              <w:t> </w:t>
            </w:r>
          </w:p>
        </w:tc>
        <w:tc>
          <w:tcPr>
            <w:tcW w:w="261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8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Edward Stelmakh</w:t>
            </w:r>
          </w:p>
        </w:tc>
      </w:tr>
      <w:tr>
        <w:trPr/>
        <w:tc>
          <w:tcPr>
            <w:tcW w:w="75" w:type="dxa"/>
            <w:tcBorders/>
            <w:vAlign w:val="center"/>
          </w:tcPr>
          <w:p>
            <w:pPr>
              <w:pStyle w:val="TableContents"/>
              <w:bidi w:val="0"/>
              <w:spacing w:before="0" w:after="283"/>
              <w:jc w:val="both"/>
              <w:rPr/>
            </w:pPr>
            <w:r>
              <w:rPr/>
              <w:t> </w:t>
            </w:r>
          </w:p>
        </w:tc>
        <w:tc>
          <w:tcPr>
            <w:tcW w:w="6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1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Edward Stelmakh</w:t>
            </w:r>
          </w:p>
        </w:tc>
      </w:tr>
      <w:tr>
        <w:trPr/>
        <w:tc>
          <w:tcPr>
            <w:tcW w:w="75" w:type="dxa"/>
            <w:tcBorders/>
            <w:vAlign w:val="center"/>
          </w:tcPr>
          <w:p>
            <w:pPr>
              <w:pStyle w:val="TableContents"/>
              <w:bidi w:val="0"/>
              <w:spacing w:before="0" w:after="283"/>
              <w:jc w:val="both"/>
              <w:rPr/>
            </w:pPr>
            <w:r>
              <w:rPr/>
              <w:t> </w:t>
            </w:r>
          </w:p>
        </w:tc>
        <w:tc>
          <w:tcPr>
            <w:tcW w:w="6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1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CFO/CCO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1 to Financing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5809" w:type="dxa"/>
        <w:jc w:val="left"/>
        <w:tblInd w:w="0" w:type="dxa"/>
        <w:tblLayout w:type="fixed"/>
        <w:tblCellMar>
          <w:top w:w="0" w:type="dxa"/>
          <w:left w:w="0" w:type="dxa"/>
          <w:bottom w:w="0" w:type="dxa"/>
          <w:right w:w="0" w:type="dxa"/>
        </w:tblCellMar>
      </w:tblPr>
      <w:tblGrid>
        <w:gridCol w:w="75"/>
        <w:gridCol w:w="1460"/>
        <w:gridCol w:w="4274"/>
      </w:tblGrid>
      <w:tr>
        <w:trPr/>
        <w:tc>
          <w:tcPr>
            <w:tcW w:w="75" w:type="dxa"/>
            <w:tcBorders/>
            <w:vAlign w:val="center"/>
          </w:tcPr>
          <w:p>
            <w:pPr>
              <w:pStyle w:val="TableContents"/>
              <w:bidi w:val="0"/>
              <w:spacing w:before="0" w:after="283"/>
              <w:jc w:val="left"/>
              <w:rPr/>
            </w:pPr>
            <w:r>
              <w:rPr/>
              <w:t> </w:t>
            </w:r>
          </w:p>
        </w:tc>
        <w:tc>
          <w:tcPr>
            <w:tcW w:w="57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COLLATERAL AGENT, ADMINISTRATIVE AGENT AND LENDER:</w:t>
            </w:r>
          </w:p>
        </w:tc>
      </w:tr>
      <w:tr>
        <w:trPr/>
        <w:tc>
          <w:tcPr>
            <w:tcW w:w="75" w:type="dxa"/>
            <w:tcBorders/>
            <w:vAlign w:val="center"/>
          </w:tcPr>
          <w:p>
            <w:pPr>
              <w:pStyle w:val="TableContents"/>
              <w:bidi w:val="0"/>
              <w:spacing w:before="0" w:after="283"/>
              <w:jc w:val="left"/>
              <w:rPr/>
            </w:pPr>
            <w:r>
              <w:rPr/>
              <w:t> </w:t>
            </w:r>
          </w:p>
        </w:tc>
        <w:tc>
          <w:tcPr>
            <w:tcW w:w="57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BLUE TORCH FINANCE, LLC</w:t>
            </w:r>
          </w:p>
        </w:tc>
      </w:tr>
      <w:tr>
        <w:trPr/>
        <w:tc>
          <w:tcPr>
            <w:tcW w:w="75"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pPr>
            <w:r>
              <w:rPr/>
              <w:t> </w:t>
            </w:r>
          </w:p>
        </w:tc>
        <w:tc>
          <w:tcPr>
            <w:tcW w:w="427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74"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Kevin Genda</w:t>
            </w:r>
          </w:p>
        </w:tc>
      </w:tr>
      <w:tr>
        <w:trPr/>
        <w:tc>
          <w:tcPr>
            <w:tcW w:w="75"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2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Genda</w:t>
            </w:r>
          </w:p>
        </w:tc>
      </w:tr>
      <w:tr>
        <w:trPr/>
        <w:tc>
          <w:tcPr>
            <w:tcW w:w="75"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2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Member</w:t>
            </w:r>
          </w:p>
        </w:tc>
      </w:tr>
      <w:tr>
        <w:trPr/>
        <w:tc>
          <w:tcPr>
            <w:tcW w:w="75"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pPr>
            <w:r>
              <w:rPr/>
              <w:t> </w:t>
            </w:r>
          </w:p>
        </w:tc>
        <w:tc>
          <w:tcPr>
            <w:tcW w:w="4274"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1 to Financing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7894" w:type="dxa"/>
        <w:jc w:val="left"/>
        <w:tblInd w:w="0" w:type="dxa"/>
        <w:tblLayout w:type="fixed"/>
        <w:tblCellMar>
          <w:top w:w="0" w:type="dxa"/>
          <w:left w:w="0" w:type="dxa"/>
          <w:bottom w:w="0" w:type="dxa"/>
          <w:right w:w="0" w:type="dxa"/>
        </w:tblCellMar>
      </w:tblPr>
      <w:tblGrid>
        <w:gridCol w:w="75"/>
        <w:gridCol w:w="2032"/>
        <w:gridCol w:w="5787"/>
      </w:tblGrid>
      <w:tr>
        <w:trPr/>
        <w:tc>
          <w:tcPr>
            <w:tcW w:w="75" w:type="dxa"/>
            <w:tcBorders/>
            <w:vAlign w:val="center"/>
          </w:tcPr>
          <w:p>
            <w:pPr>
              <w:pStyle w:val="TableContents"/>
              <w:bidi w:val="0"/>
              <w:spacing w:before="0" w:after="283"/>
              <w:jc w:val="left"/>
              <w:rPr/>
            </w:pPr>
            <w:r>
              <w:rPr/>
              <w:t> </w:t>
            </w:r>
          </w:p>
        </w:tc>
        <w:tc>
          <w:tcPr>
            <w:tcW w:w="7819" w:type="dxa"/>
            <w:gridSpan w:val="2"/>
            <w:tcBorders/>
            <w:vAlign w:val="center"/>
          </w:tcPr>
          <w:p>
            <w:pPr>
              <w:pStyle w:val="TableContents"/>
              <w:bidi w:val="0"/>
              <w:spacing w:before="0" w:after="283"/>
              <w:jc w:val="left"/>
              <w:rPr/>
            </w:pPr>
            <w:r>
              <w:rPr>
                <w:u w:val="single"/>
              </w:rPr>
              <w:t>LENDERS</w:t>
            </w:r>
            <w:r>
              <w:rPr/>
              <w:t>:</w:t>
            </w:r>
          </w:p>
        </w:tc>
      </w:tr>
      <w:tr>
        <w:trPr/>
        <w:tc>
          <w:tcPr>
            <w:tcW w:w="75" w:type="dxa"/>
            <w:tcBorders/>
            <w:vAlign w:val="center"/>
          </w:tcPr>
          <w:p>
            <w:pPr>
              <w:pStyle w:val="TableContents"/>
              <w:bidi w:val="0"/>
              <w:spacing w:before="0" w:after="283"/>
              <w:jc w:val="left"/>
              <w:rPr/>
            </w:pPr>
            <w:r>
              <w:rPr/>
              <w:t> </w:t>
            </w:r>
          </w:p>
        </w:tc>
        <w:tc>
          <w:tcPr>
            <w:tcW w:w="781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19" w:type="dxa"/>
            <w:gridSpan w:val="2"/>
            <w:tcBorders/>
            <w:vAlign w:val="center"/>
          </w:tcPr>
          <w:p>
            <w:pPr>
              <w:pStyle w:val="TableContents"/>
              <w:bidi w:val="0"/>
              <w:spacing w:before="0" w:after="283"/>
              <w:jc w:val="left"/>
              <w:rPr>
                <w:b/>
              </w:rPr>
            </w:pPr>
            <w:r>
              <w:rPr>
                <w:b/>
              </w:rPr>
              <w:t>BTC HOLDINGS SBAF FUND LLC</w:t>
            </w:r>
          </w:p>
        </w:tc>
      </w:tr>
      <w:tr>
        <w:trPr/>
        <w:tc>
          <w:tcPr>
            <w:tcW w:w="75" w:type="dxa"/>
            <w:tcBorders/>
            <w:vAlign w:val="center"/>
          </w:tcPr>
          <w:p>
            <w:pPr>
              <w:pStyle w:val="TableContents"/>
              <w:bidi w:val="0"/>
              <w:spacing w:before="0" w:after="283"/>
              <w:jc w:val="left"/>
              <w:rPr/>
            </w:pPr>
            <w:r>
              <w:rPr/>
              <w:t> </w:t>
            </w:r>
          </w:p>
        </w:tc>
        <w:tc>
          <w:tcPr>
            <w:tcW w:w="781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19" w:type="dxa"/>
            <w:gridSpan w:val="2"/>
            <w:tcBorders/>
            <w:vAlign w:val="center"/>
          </w:tcPr>
          <w:p>
            <w:pPr>
              <w:pStyle w:val="TableContents"/>
              <w:bidi w:val="0"/>
              <w:spacing w:before="0" w:after="283"/>
              <w:jc w:val="left"/>
              <w:rPr/>
            </w:pPr>
            <w:r>
              <w:rPr/>
              <w:t xml:space="preserve">By: Blue Torch Credit Opportunities SBAF Fund LP, </w:t>
            </w:r>
            <w:r>
              <w:rPr>
                <w:i/>
              </w:rPr>
              <w:t>its sole member</w:t>
            </w:r>
          </w:p>
        </w:tc>
      </w:tr>
      <w:tr>
        <w:trPr/>
        <w:tc>
          <w:tcPr>
            <w:tcW w:w="75" w:type="dxa"/>
            <w:tcBorders/>
            <w:vAlign w:val="center"/>
          </w:tcPr>
          <w:p>
            <w:pPr>
              <w:pStyle w:val="TableContents"/>
              <w:bidi w:val="0"/>
              <w:spacing w:before="0" w:after="283"/>
              <w:jc w:val="left"/>
              <w:rPr/>
            </w:pPr>
            <w:r>
              <w:rPr/>
              <w:t> </w:t>
            </w:r>
          </w:p>
        </w:tc>
        <w:tc>
          <w:tcPr>
            <w:tcW w:w="781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19" w:type="dxa"/>
            <w:gridSpan w:val="2"/>
            <w:tcBorders/>
            <w:vAlign w:val="center"/>
          </w:tcPr>
          <w:p>
            <w:pPr>
              <w:pStyle w:val="TableContents"/>
              <w:bidi w:val="0"/>
              <w:spacing w:before="0" w:after="283"/>
              <w:jc w:val="left"/>
              <w:rPr/>
            </w:pPr>
            <w:r>
              <w:rPr/>
              <w:t xml:space="preserve">By: Blue Torch Credit Opportunities SBAF GP, LLC, </w:t>
            </w:r>
            <w:r>
              <w:rPr>
                <w:i/>
              </w:rPr>
              <w:t>its general partner</w:t>
            </w:r>
          </w:p>
        </w:tc>
      </w:tr>
      <w:tr>
        <w:trPr/>
        <w:tc>
          <w:tcPr>
            <w:tcW w:w="75" w:type="dxa"/>
            <w:tcBorders/>
            <w:vAlign w:val="center"/>
          </w:tcPr>
          <w:p>
            <w:pPr>
              <w:pStyle w:val="TableContents"/>
              <w:bidi w:val="0"/>
              <w:spacing w:before="0" w:after="283"/>
              <w:jc w:val="left"/>
              <w:rPr/>
            </w:pPr>
            <w:r>
              <w:rPr/>
              <w:t> </w:t>
            </w:r>
          </w:p>
        </w:tc>
        <w:tc>
          <w:tcPr>
            <w:tcW w:w="781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19" w:type="dxa"/>
            <w:gridSpan w:val="2"/>
            <w:tcBorders/>
            <w:vAlign w:val="center"/>
          </w:tcPr>
          <w:p>
            <w:pPr>
              <w:pStyle w:val="TableContents"/>
              <w:bidi w:val="0"/>
              <w:spacing w:before="0" w:after="283"/>
              <w:jc w:val="left"/>
              <w:rPr/>
            </w:pPr>
            <w:r>
              <w:rPr/>
              <w:t>By: KPG BTC Management LLC, its sole member</w:t>
            </w:r>
          </w:p>
        </w:tc>
      </w:tr>
      <w:tr>
        <w:trPr/>
        <w:tc>
          <w:tcPr>
            <w:tcW w:w="75" w:type="dxa"/>
            <w:tcBorders/>
            <w:vAlign w:val="center"/>
          </w:tcPr>
          <w:p>
            <w:pPr>
              <w:pStyle w:val="TableContents"/>
              <w:bidi w:val="0"/>
              <w:spacing w:before="0" w:after="283"/>
              <w:jc w:val="left"/>
              <w:rPr/>
            </w:pPr>
            <w:r>
              <w:rPr/>
              <w:t> </w:t>
            </w:r>
          </w:p>
        </w:tc>
        <w:tc>
          <w:tcPr>
            <w:tcW w:w="2032" w:type="dxa"/>
            <w:tcBorders/>
            <w:vAlign w:val="center"/>
          </w:tcPr>
          <w:p>
            <w:pPr>
              <w:pStyle w:val="TableContents"/>
              <w:bidi w:val="0"/>
              <w:spacing w:before="0" w:after="283"/>
              <w:jc w:val="left"/>
              <w:rPr/>
            </w:pPr>
            <w:r>
              <w:rPr/>
              <w:t> </w:t>
            </w:r>
          </w:p>
        </w:tc>
        <w:tc>
          <w:tcPr>
            <w:tcW w:w="578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32" w:type="dxa"/>
            <w:tcBorders/>
            <w:vAlign w:val="center"/>
          </w:tcPr>
          <w:p>
            <w:pPr>
              <w:pStyle w:val="TableContents"/>
              <w:bidi w:val="0"/>
              <w:spacing w:before="0" w:after="283"/>
              <w:jc w:val="left"/>
              <w:rPr/>
            </w:pPr>
            <w:r>
              <w:rPr/>
              <w:t>By:  </w:t>
            </w:r>
          </w:p>
        </w:tc>
        <w:tc>
          <w:tcPr>
            <w:tcW w:w="5787" w:type="dxa"/>
            <w:tcBorders>
              <w:bottom w:val="single" w:sz="12" w:space="0" w:color="000000"/>
            </w:tcBorders>
            <w:tcMar>
              <w:bottom w:w="28" w:type="dxa"/>
            </w:tcMar>
            <w:vAlign w:val="center"/>
          </w:tcPr>
          <w:p>
            <w:pPr>
              <w:pStyle w:val="TableContents"/>
              <w:bidi w:val="0"/>
              <w:spacing w:before="0" w:after="283"/>
              <w:jc w:val="left"/>
              <w:rPr/>
            </w:pPr>
            <w:r>
              <w:rPr/>
              <w:t>/s/ Kevin Genda</w:t>
            </w:r>
          </w:p>
        </w:tc>
      </w:tr>
      <w:tr>
        <w:trPr/>
        <w:tc>
          <w:tcPr>
            <w:tcW w:w="75" w:type="dxa"/>
            <w:tcBorders/>
            <w:vAlign w:val="center"/>
          </w:tcPr>
          <w:p>
            <w:pPr>
              <w:pStyle w:val="TableContents"/>
              <w:bidi w:val="0"/>
              <w:spacing w:before="0" w:after="283"/>
              <w:jc w:val="left"/>
              <w:rPr/>
            </w:pPr>
            <w:r>
              <w:rPr/>
              <w:t> </w:t>
            </w:r>
          </w:p>
        </w:tc>
        <w:tc>
          <w:tcPr>
            <w:tcW w:w="2032" w:type="dxa"/>
            <w:tcBorders/>
            <w:vAlign w:val="center"/>
          </w:tcPr>
          <w:p>
            <w:pPr>
              <w:pStyle w:val="TableContents"/>
              <w:bidi w:val="0"/>
              <w:spacing w:before="0" w:after="283"/>
              <w:jc w:val="left"/>
              <w:rPr/>
            </w:pPr>
            <w:r>
              <w:rPr/>
              <w:t>Name:</w:t>
            </w:r>
          </w:p>
        </w:tc>
        <w:tc>
          <w:tcPr>
            <w:tcW w:w="5787" w:type="dxa"/>
            <w:tcBorders/>
            <w:vAlign w:val="center"/>
          </w:tcPr>
          <w:p>
            <w:pPr>
              <w:pStyle w:val="TableContents"/>
              <w:bidi w:val="0"/>
              <w:spacing w:before="0" w:after="283"/>
              <w:jc w:val="left"/>
              <w:rPr/>
            </w:pPr>
            <w:r>
              <w:rPr/>
              <w:t>Kevin Genda</w:t>
            </w:r>
          </w:p>
        </w:tc>
      </w:tr>
      <w:tr>
        <w:trPr/>
        <w:tc>
          <w:tcPr>
            <w:tcW w:w="75" w:type="dxa"/>
            <w:tcBorders/>
            <w:vAlign w:val="center"/>
          </w:tcPr>
          <w:p>
            <w:pPr>
              <w:pStyle w:val="TableContents"/>
              <w:bidi w:val="0"/>
              <w:spacing w:before="0" w:after="283"/>
              <w:jc w:val="left"/>
              <w:rPr/>
            </w:pPr>
            <w:r>
              <w:rPr/>
              <w:t> </w:t>
            </w:r>
          </w:p>
        </w:tc>
        <w:tc>
          <w:tcPr>
            <w:tcW w:w="2032" w:type="dxa"/>
            <w:tcBorders/>
            <w:vAlign w:val="center"/>
          </w:tcPr>
          <w:p>
            <w:pPr>
              <w:pStyle w:val="TableContents"/>
              <w:bidi w:val="0"/>
              <w:spacing w:before="0" w:after="283"/>
              <w:jc w:val="left"/>
              <w:rPr/>
            </w:pPr>
            <w:r>
              <w:rPr/>
              <w:t>Title:</w:t>
            </w:r>
          </w:p>
        </w:tc>
        <w:tc>
          <w:tcPr>
            <w:tcW w:w="5787" w:type="dxa"/>
            <w:tcBorders/>
            <w:vAlign w:val="center"/>
          </w:tcPr>
          <w:p>
            <w:pPr>
              <w:pStyle w:val="TableContents"/>
              <w:bidi w:val="0"/>
              <w:spacing w:before="0" w:after="283"/>
              <w:jc w:val="left"/>
              <w:rPr/>
            </w:pPr>
            <w:r>
              <w:rPr/>
              <w:t>Managing Member</w:t>
            </w:r>
          </w:p>
        </w:tc>
      </w:tr>
      <w:tr>
        <w:trPr/>
        <w:tc>
          <w:tcPr>
            <w:tcW w:w="75" w:type="dxa"/>
            <w:tcBorders/>
            <w:vAlign w:val="center"/>
          </w:tcPr>
          <w:p>
            <w:pPr>
              <w:pStyle w:val="TableContents"/>
              <w:bidi w:val="0"/>
              <w:spacing w:before="0" w:after="283"/>
              <w:jc w:val="left"/>
              <w:rPr/>
            </w:pPr>
            <w:r>
              <w:rPr/>
              <w:t> </w:t>
            </w:r>
          </w:p>
        </w:tc>
        <w:tc>
          <w:tcPr>
            <w:tcW w:w="2032" w:type="dxa"/>
            <w:tcBorders/>
            <w:vAlign w:val="center"/>
          </w:tcPr>
          <w:p>
            <w:pPr>
              <w:pStyle w:val="TableContents"/>
              <w:bidi w:val="0"/>
              <w:spacing w:before="0" w:after="283"/>
              <w:jc w:val="left"/>
              <w:rPr/>
            </w:pPr>
            <w:r>
              <w:rPr/>
              <w:t> </w:t>
            </w:r>
          </w:p>
        </w:tc>
        <w:tc>
          <w:tcPr>
            <w:tcW w:w="578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19" w:type="dxa"/>
            <w:gridSpan w:val="2"/>
            <w:tcBorders/>
            <w:vAlign w:val="center"/>
          </w:tcPr>
          <w:p>
            <w:pPr>
              <w:pStyle w:val="TableContents"/>
              <w:bidi w:val="0"/>
              <w:spacing w:before="0" w:after="283"/>
              <w:jc w:val="left"/>
              <w:rPr>
                <w:b/>
              </w:rPr>
            </w:pPr>
            <w:r>
              <w:rPr>
                <w:b/>
              </w:rPr>
              <w:t>BTC HOLDINGS KRS FUND LLC</w:t>
            </w:r>
          </w:p>
        </w:tc>
      </w:tr>
      <w:tr>
        <w:trPr/>
        <w:tc>
          <w:tcPr>
            <w:tcW w:w="75" w:type="dxa"/>
            <w:tcBorders/>
            <w:vAlign w:val="center"/>
          </w:tcPr>
          <w:p>
            <w:pPr>
              <w:pStyle w:val="TableContents"/>
              <w:bidi w:val="0"/>
              <w:spacing w:before="0" w:after="283"/>
              <w:jc w:val="left"/>
              <w:rPr/>
            </w:pPr>
            <w:r>
              <w:rPr/>
              <w:t> </w:t>
            </w:r>
          </w:p>
        </w:tc>
        <w:tc>
          <w:tcPr>
            <w:tcW w:w="781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19" w:type="dxa"/>
            <w:gridSpan w:val="2"/>
            <w:tcBorders/>
            <w:vAlign w:val="center"/>
          </w:tcPr>
          <w:p>
            <w:pPr>
              <w:pStyle w:val="TableContents"/>
              <w:bidi w:val="0"/>
              <w:spacing w:before="0" w:after="283"/>
              <w:jc w:val="left"/>
              <w:rPr/>
            </w:pPr>
            <w:r>
              <w:rPr/>
              <w:t xml:space="preserve">By: Blue Torch Credit Opportunities KRS Fund LP, </w:t>
            </w:r>
            <w:r>
              <w:rPr>
                <w:i/>
              </w:rPr>
              <w:t>its sole member</w:t>
            </w:r>
          </w:p>
        </w:tc>
      </w:tr>
      <w:tr>
        <w:trPr/>
        <w:tc>
          <w:tcPr>
            <w:tcW w:w="75" w:type="dxa"/>
            <w:tcBorders/>
            <w:vAlign w:val="center"/>
          </w:tcPr>
          <w:p>
            <w:pPr>
              <w:pStyle w:val="TableContents"/>
              <w:bidi w:val="0"/>
              <w:spacing w:before="0" w:after="283"/>
              <w:jc w:val="left"/>
              <w:rPr/>
            </w:pPr>
            <w:r>
              <w:rPr/>
              <w:t> </w:t>
            </w:r>
          </w:p>
        </w:tc>
        <w:tc>
          <w:tcPr>
            <w:tcW w:w="781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19" w:type="dxa"/>
            <w:gridSpan w:val="2"/>
            <w:tcBorders/>
            <w:vAlign w:val="center"/>
          </w:tcPr>
          <w:p>
            <w:pPr>
              <w:pStyle w:val="TableContents"/>
              <w:bidi w:val="0"/>
              <w:spacing w:before="0" w:after="283"/>
              <w:jc w:val="left"/>
              <w:rPr/>
            </w:pPr>
            <w:r>
              <w:rPr/>
              <w:t xml:space="preserve">By: Blue Torch Credit Opportunities KRS GP, LLC, </w:t>
            </w:r>
            <w:r>
              <w:rPr>
                <w:i/>
              </w:rPr>
              <w:t>its general partner</w:t>
            </w:r>
          </w:p>
        </w:tc>
      </w:tr>
      <w:tr>
        <w:trPr/>
        <w:tc>
          <w:tcPr>
            <w:tcW w:w="75" w:type="dxa"/>
            <w:tcBorders/>
            <w:vAlign w:val="center"/>
          </w:tcPr>
          <w:p>
            <w:pPr>
              <w:pStyle w:val="TableContents"/>
              <w:bidi w:val="0"/>
              <w:spacing w:before="0" w:after="283"/>
              <w:jc w:val="left"/>
              <w:rPr/>
            </w:pPr>
            <w:r>
              <w:rPr/>
              <w:t> </w:t>
            </w:r>
          </w:p>
        </w:tc>
        <w:tc>
          <w:tcPr>
            <w:tcW w:w="781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19" w:type="dxa"/>
            <w:gridSpan w:val="2"/>
            <w:tcBorders/>
            <w:vAlign w:val="center"/>
          </w:tcPr>
          <w:p>
            <w:pPr>
              <w:pStyle w:val="TableContents"/>
              <w:bidi w:val="0"/>
              <w:spacing w:before="0" w:after="283"/>
              <w:jc w:val="left"/>
              <w:rPr/>
            </w:pPr>
            <w:r>
              <w:rPr/>
              <w:t xml:space="preserve">By: KPG BTC Management LLC, </w:t>
            </w:r>
            <w:r>
              <w:rPr>
                <w:i/>
              </w:rPr>
              <w:t>its sole member</w:t>
            </w:r>
          </w:p>
        </w:tc>
      </w:tr>
      <w:tr>
        <w:trPr/>
        <w:tc>
          <w:tcPr>
            <w:tcW w:w="75" w:type="dxa"/>
            <w:tcBorders/>
            <w:vAlign w:val="center"/>
          </w:tcPr>
          <w:p>
            <w:pPr>
              <w:pStyle w:val="TableContents"/>
              <w:bidi w:val="0"/>
              <w:spacing w:before="0" w:after="283"/>
              <w:jc w:val="left"/>
              <w:rPr/>
            </w:pPr>
            <w:r>
              <w:rPr/>
              <w:t> </w:t>
            </w:r>
          </w:p>
        </w:tc>
        <w:tc>
          <w:tcPr>
            <w:tcW w:w="2032" w:type="dxa"/>
            <w:tcBorders/>
            <w:vAlign w:val="center"/>
          </w:tcPr>
          <w:p>
            <w:pPr>
              <w:pStyle w:val="TableContents"/>
              <w:bidi w:val="0"/>
              <w:spacing w:before="0" w:after="283"/>
              <w:jc w:val="left"/>
              <w:rPr/>
            </w:pPr>
            <w:r>
              <w:rPr/>
              <w:t> </w:t>
            </w:r>
          </w:p>
        </w:tc>
        <w:tc>
          <w:tcPr>
            <w:tcW w:w="578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32" w:type="dxa"/>
            <w:tcBorders/>
            <w:vAlign w:val="center"/>
          </w:tcPr>
          <w:p>
            <w:pPr>
              <w:pStyle w:val="TableContents"/>
              <w:bidi w:val="0"/>
              <w:spacing w:before="0" w:after="283"/>
              <w:jc w:val="left"/>
              <w:rPr/>
            </w:pPr>
            <w:r>
              <w:rPr/>
              <w:t>By:</w:t>
            </w:r>
          </w:p>
        </w:tc>
        <w:tc>
          <w:tcPr>
            <w:tcW w:w="5787" w:type="dxa"/>
            <w:tcBorders>
              <w:bottom w:val="single" w:sz="12" w:space="0" w:color="000000"/>
            </w:tcBorders>
            <w:tcMar>
              <w:bottom w:w="28" w:type="dxa"/>
            </w:tcMar>
            <w:vAlign w:val="center"/>
          </w:tcPr>
          <w:p>
            <w:pPr>
              <w:pStyle w:val="TableContents"/>
              <w:bidi w:val="0"/>
              <w:spacing w:before="0" w:after="283"/>
              <w:jc w:val="left"/>
              <w:rPr/>
            </w:pPr>
            <w:r>
              <w:rPr/>
              <w:t>/s/ Kevin Genda</w:t>
            </w:r>
          </w:p>
        </w:tc>
      </w:tr>
      <w:tr>
        <w:trPr/>
        <w:tc>
          <w:tcPr>
            <w:tcW w:w="75" w:type="dxa"/>
            <w:tcBorders/>
            <w:vAlign w:val="center"/>
          </w:tcPr>
          <w:p>
            <w:pPr>
              <w:pStyle w:val="TableContents"/>
              <w:bidi w:val="0"/>
              <w:spacing w:before="0" w:after="283"/>
              <w:jc w:val="left"/>
              <w:rPr/>
            </w:pPr>
            <w:r>
              <w:rPr/>
              <w:t> </w:t>
            </w:r>
          </w:p>
        </w:tc>
        <w:tc>
          <w:tcPr>
            <w:tcW w:w="2032" w:type="dxa"/>
            <w:tcBorders/>
            <w:vAlign w:val="center"/>
          </w:tcPr>
          <w:p>
            <w:pPr>
              <w:pStyle w:val="TableContents"/>
              <w:bidi w:val="0"/>
              <w:spacing w:before="0" w:after="283"/>
              <w:jc w:val="left"/>
              <w:rPr/>
            </w:pPr>
            <w:r>
              <w:rPr/>
              <w:t>Name:</w:t>
            </w:r>
          </w:p>
        </w:tc>
        <w:tc>
          <w:tcPr>
            <w:tcW w:w="5787" w:type="dxa"/>
            <w:tcBorders/>
            <w:vAlign w:val="center"/>
          </w:tcPr>
          <w:p>
            <w:pPr>
              <w:pStyle w:val="TableContents"/>
              <w:bidi w:val="0"/>
              <w:spacing w:before="0" w:after="283"/>
              <w:jc w:val="left"/>
              <w:rPr/>
            </w:pPr>
            <w:r>
              <w:rPr/>
              <w:t>Kevin Genda</w:t>
            </w:r>
          </w:p>
        </w:tc>
      </w:tr>
      <w:tr>
        <w:trPr/>
        <w:tc>
          <w:tcPr>
            <w:tcW w:w="75" w:type="dxa"/>
            <w:tcBorders/>
            <w:vAlign w:val="center"/>
          </w:tcPr>
          <w:p>
            <w:pPr>
              <w:pStyle w:val="TableContents"/>
              <w:bidi w:val="0"/>
              <w:spacing w:before="0" w:after="283"/>
              <w:jc w:val="left"/>
              <w:rPr/>
            </w:pPr>
            <w:r>
              <w:rPr/>
              <w:t> </w:t>
            </w:r>
          </w:p>
        </w:tc>
        <w:tc>
          <w:tcPr>
            <w:tcW w:w="2032" w:type="dxa"/>
            <w:tcBorders/>
            <w:vAlign w:val="center"/>
          </w:tcPr>
          <w:p>
            <w:pPr>
              <w:pStyle w:val="TableContents"/>
              <w:bidi w:val="0"/>
              <w:spacing w:before="0" w:after="283"/>
              <w:jc w:val="left"/>
              <w:rPr/>
            </w:pPr>
            <w:r>
              <w:rPr/>
              <w:t>Title:</w:t>
            </w:r>
          </w:p>
        </w:tc>
        <w:tc>
          <w:tcPr>
            <w:tcW w:w="5787" w:type="dxa"/>
            <w:tcBorders/>
            <w:vAlign w:val="center"/>
          </w:tcPr>
          <w:p>
            <w:pPr>
              <w:pStyle w:val="TableContents"/>
              <w:bidi w:val="0"/>
              <w:spacing w:before="0" w:after="283"/>
              <w:jc w:val="left"/>
              <w:rPr/>
            </w:pPr>
            <w:r>
              <w:rPr/>
              <w:t>Managing Member</w:t>
            </w:r>
          </w:p>
        </w:tc>
      </w:tr>
      <w:tr>
        <w:trPr/>
        <w:tc>
          <w:tcPr>
            <w:tcW w:w="75" w:type="dxa"/>
            <w:tcBorders/>
            <w:vAlign w:val="center"/>
          </w:tcPr>
          <w:p>
            <w:pPr>
              <w:pStyle w:val="TableContents"/>
              <w:bidi w:val="0"/>
              <w:spacing w:before="0" w:after="283"/>
              <w:jc w:val="left"/>
              <w:rPr/>
            </w:pPr>
            <w:r>
              <w:rPr/>
              <w:t> </w:t>
            </w:r>
          </w:p>
        </w:tc>
        <w:tc>
          <w:tcPr>
            <w:tcW w:w="2032" w:type="dxa"/>
            <w:tcBorders/>
            <w:vAlign w:val="center"/>
          </w:tcPr>
          <w:p>
            <w:pPr>
              <w:pStyle w:val="TableContents"/>
              <w:bidi w:val="0"/>
              <w:spacing w:before="0" w:after="283"/>
              <w:jc w:val="left"/>
              <w:rPr/>
            </w:pPr>
            <w:r>
              <w:rPr/>
              <w:t> </w:t>
            </w:r>
          </w:p>
        </w:tc>
        <w:tc>
          <w:tcPr>
            <w:tcW w:w="578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19" w:type="dxa"/>
            <w:gridSpan w:val="2"/>
            <w:tcBorders/>
            <w:vAlign w:val="center"/>
          </w:tcPr>
          <w:p>
            <w:pPr>
              <w:pStyle w:val="TableContents"/>
              <w:bidi w:val="0"/>
              <w:spacing w:before="0" w:after="283"/>
              <w:jc w:val="left"/>
              <w:rPr>
                <w:b/>
              </w:rPr>
            </w:pPr>
            <w:r>
              <w:rPr>
                <w:b/>
              </w:rPr>
              <w:t>BLUE TORCH CREDIT OPPORTUNITIES UNLEVERED FUND III LP</w:t>
            </w:r>
          </w:p>
        </w:tc>
      </w:tr>
      <w:tr>
        <w:trPr/>
        <w:tc>
          <w:tcPr>
            <w:tcW w:w="75" w:type="dxa"/>
            <w:tcBorders/>
            <w:vAlign w:val="center"/>
          </w:tcPr>
          <w:p>
            <w:pPr>
              <w:pStyle w:val="TableContents"/>
              <w:bidi w:val="0"/>
              <w:spacing w:before="0" w:after="283"/>
              <w:jc w:val="left"/>
              <w:rPr/>
            </w:pPr>
            <w:r>
              <w:rPr/>
              <w:t> </w:t>
            </w:r>
          </w:p>
        </w:tc>
        <w:tc>
          <w:tcPr>
            <w:tcW w:w="781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19" w:type="dxa"/>
            <w:gridSpan w:val="2"/>
            <w:tcBorders/>
            <w:vAlign w:val="center"/>
          </w:tcPr>
          <w:p>
            <w:pPr>
              <w:pStyle w:val="TableContents"/>
              <w:bidi w:val="0"/>
              <w:spacing w:before="0" w:after="283"/>
              <w:jc w:val="left"/>
              <w:rPr/>
            </w:pPr>
            <w:r>
              <w:rPr/>
              <w:t xml:space="preserve">By: Blue Torch Credit Opportunities GP III LLC, </w:t>
            </w:r>
            <w:r>
              <w:rPr>
                <w:i/>
              </w:rPr>
              <w:t>its general partner</w:t>
            </w:r>
          </w:p>
        </w:tc>
      </w:tr>
      <w:tr>
        <w:trPr/>
        <w:tc>
          <w:tcPr>
            <w:tcW w:w="75" w:type="dxa"/>
            <w:tcBorders/>
            <w:vAlign w:val="center"/>
          </w:tcPr>
          <w:p>
            <w:pPr>
              <w:pStyle w:val="TableContents"/>
              <w:bidi w:val="0"/>
              <w:spacing w:before="0" w:after="283"/>
              <w:jc w:val="left"/>
              <w:rPr/>
            </w:pPr>
            <w:r>
              <w:rPr/>
              <w:t> </w:t>
            </w:r>
          </w:p>
        </w:tc>
        <w:tc>
          <w:tcPr>
            <w:tcW w:w="781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19" w:type="dxa"/>
            <w:gridSpan w:val="2"/>
            <w:tcBorders/>
            <w:vAlign w:val="center"/>
          </w:tcPr>
          <w:p>
            <w:pPr>
              <w:pStyle w:val="TableContents"/>
              <w:bidi w:val="0"/>
              <w:spacing w:before="0" w:after="283"/>
              <w:jc w:val="left"/>
              <w:rPr/>
            </w:pPr>
            <w:r>
              <w:rPr/>
              <w:t xml:space="preserve">By: KPG BTC Management LLC, </w:t>
            </w:r>
            <w:r>
              <w:rPr>
                <w:i/>
              </w:rPr>
              <w:t>its sole member</w:t>
            </w:r>
          </w:p>
        </w:tc>
      </w:tr>
    </w:tbl>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650"/>
        <w:gridCol w:w="1850"/>
      </w:tblGrid>
      <w:tr>
        <w:trPr/>
        <w:tc>
          <w:tcPr>
            <w:tcW w:w="7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By:</w:t>
            </w:r>
          </w:p>
        </w:tc>
        <w:tc>
          <w:tcPr>
            <w:tcW w:w="1850" w:type="dxa"/>
            <w:tcBorders>
              <w:bottom w:val="single" w:sz="12" w:space="0" w:color="000000"/>
            </w:tcBorders>
            <w:tcMar>
              <w:bottom w:w="28" w:type="dxa"/>
            </w:tcMar>
            <w:vAlign w:val="center"/>
          </w:tcPr>
          <w:p>
            <w:pPr>
              <w:pStyle w:val="TableContents"/>
              <w:bidi w:val="0"/>
              <w:spacing w:before="0" w:after="283"/>
              <w:jc w:val="left"/>
              <w:rPr/>
            </w:pPr>
            <w:r>
              <w:rPr/>
              <w:t>/s/ Kevin Genda</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1850" w:type="dxa"/>
            <w:tcBorders/>
            <w:vAlign w:val="center"/>
          </w:tcPr>
          <w:p>
            <w:pPr>
              <w:pStyle w:val="TableContents"/>
              <w:bidi w:val="0"/>
              <w:spacing w:before="0" w:after="283"/>
              <w:jc w:val="left"/>
              <w:rPr/>
            </w:pPr>
            <w:r>
              <w:rPr/>
              <w:t>Kevin Genda</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1850" w:type="dxa"/>
            <w:tcBorders/>
            <w:vAlign w:val="center"/>
          </w:tcPr>
          <w:p>
            <w:pPr>
              <w:pStyle w:val="TableContents"/>
              <w:bidi w:val="0"/>
              <w:spacing w:before="0" w:after="283"/>
              <w:jc w:val="left"/>
              <w:rPr/>
            </w:pPr>
            <w:r>
              <w:rPr/>
              <w:t>Managing Member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1 to Financing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649" w:type="dxa"/>
        <w:jc w:val="left"/>
        <w:tblInd w:w="0" w:type="dxa"/>
        <w:tblLayout w:type="fixed"/>
        <w:tblCellMar>
          <w:top w:w="0" w:type="dxa"/>
          <w:left w:w="0" w:type="dxa"/>
          <w:bottom w:w="0" w:type="dxa"/>
          <w:right w:w="0" w:type="dxa"/>
        </w:tblCellMar>
      </w:tblPr>
      <w:tblGrid>
        <w:gridCol w:w="75"/>
        <w:gridCol w:w="1708"/>
        <w:gridCol w:w="4866"/>
      </w:tblGrid>
      <w:tr>
        <w:trPr/>
        <w:tc>
          <w:tcPr>
            <w:tcW w:w="75" w:type="dxa"/>
            <w:tcBorders/>
            <w:vAlign w:val="center"/>
          </w:tcPr>
          <w:p>
            <w:pPr>
              <w:pStyle w:val="TableContents"/>
              <w:bidi w:val="0"/>
              <w:spacing w:before="0" w:after="283"/>
              <w:jc w:val="left"/>
              <w:rPr/>
            </w:pPr>
            <w:r>
              <w:rPr/>
              <w:t> </w:t>
            </w:r>
          </w:p>
        </w:tc>
        <w:tc>
          <w:tcPr>
            <w:tcW w:w="6574" w:type="dxa"/>
            <w:gridSpan w:val="2"/>
            <w:tcBorders/>
            <w:vAlign w:val="center"/>
          </w:tcPr>
          <w:p>
            <w:pPr>
              <w:pStyle w:val="TableContents"/>
              <w:bidi w:val="0"/>
              <w:spacing w:before="0" w:after="283"/>
              <w:jc w:val="left"/>
              <w:rPr>
                <w:b/>
              </w:rPr>
            </w:pPr>
            <w:r>
              <w:rPr>
                <w:b/>
              </w:rPr>
              <w:t>BTC HOLDINGS FUND III LLC</w:t>
            </w:r>
          </w:p>
        </w:tc>
      </w:tr>
      <w:tr>
        <w:trPr/>
        <w:tc>
          <w:tcPr>
            <w:tcW w:w="75" w:type="dxa"/>
            <w:tcBorders/>
            <w:vAlign w:val="center"/>
          </w:tcPr>
          <w:p>
            <w:pPr>
              <w:pStyle w:val="TableContents"/>
              <w:bidi w:val="0"/>
              <w:spacing w:before="0" w:after="283"/>
              <w:jc w:val="left"/>
              <w:rPr/>
            </w:pPr>
            <w:r>
              <w:rPr/>
              <w:t> </w:t>
            </w:r>
          </w:p>
        </w:tc>
        <w:tc>
          <w:tcPr>
            <w:tcW w:w="65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74" w:type="dxa"/>
            <w:gridSpan w:val="2"/>
            <w:tcBorders/>
            <w:vAlign w:val="center"/>
          </w:tcPr>
          <w:p>
            <w:pPr>
              <w:pStyle w:val="TableContents"/>
              <w:bidi w:val="0"/>
              <w:spacing w:before="0" w:after="283"/>
              <w:jc w:val="left"/>
              <w:rPr/>
            </w:pPr>
            <w:r>
              <w:rPr/>
              <w:t xml:space="preserve">By: Blue Torch Credit Opportunities Fund III LP, </w:t>
            </w:r>
            <w:r>
              <w:rPr>
                <w:i/>
              </w:rPr>
              <w:t>its sole member</w:t>
            </w:r>
          </w:p>
        </w:tc>
      </w:tr>
      <w:tr>
        <w:trPr/>
        <w:tc>
          <w:tcPr>
            <w:tcW w:w="75" w:type="dxa"/>
            <w:tcBorders/>
            <w:vAlign w:val="center"/>
          </w:tcPr>
          <w:p>
            <w:pPr>
              <w:pStyle w:val="TableContents"/>
              <w:bidi w:val="0"/>
              <w:spacing w:before="0" w:after="283"/>
              <w:jc w:val="left"/>
              <w:rPr/>
            </w:pPr>
            <w:r>
              <w:rPr/>
              <w:t> </w:t>
            </w:r>
          </w:p>
        </w:tc>
        <w:tc>
          <w:tcPr>
            <w:tcW w:w="65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74" w:type="dxa"/>
            <w:gridSpan w:val="2"/>
            <w:tcBorders/>
            <w:vAlign w:val="center"/>
          </w:tcPr>
          <w:p>
            <w:pPr>
              <w:pStyle w:val="TableContents"/>
              <w:bidi w:val="0"/>
              <w:spacing w:before="0" w:after="283"/>
              <w:jc w:val="left"/>
              <w:rPr/>
            </w:pPr>
            <w:r>
              <w:rPr/>
              <w:t xml:space="preserve">By: Blue Torch Credit Opportunities GP III LLC, </w:t>
            </w:r>
            <w:r>
              <w:rPr>
                <w:i/>
              </w:rPr>
              <w:t>its general partner</w:t>
            </w:r>
          </w:p>
        </w:tc>
      </w:tr>
      <w:tr>
        <w:trPr/>
        <w:tc>
          <w:tcPr>
            <w:tcW w:w="75" w:type="dxa"/>
            <w:tcBorders/>
            <w:vAlign w:val="center"/>
          </w:tcPr>
          <w:p>
            <w:pPr>
              <w:pStyle w:val="TableContents"/>
              <w:bidi w:val="0"/>
              <w:spacing w:before="0" w:after="283"/>
              <w:jc w:val="left"/>
              <w:rPr/>
            </w:pPr>
            <w:r>
              <w:rPr/>
              <w:t> </w:t>
            </w:r>
          </w:p>
        </w:tc>
        <w:tc>
          <w:tcPr>
            <w:tcW w:w="65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74" w:type="dxa"/>
            <w:gridSpan w:val="2"/>
            <w:tcBorders/>
            <w:vAlign w:val="center"/>
          </w:tcPr>
          <w:p>
            <w:pPr>
              <w:pStyle w:val="TableContents"/>
              <w:bidi w:val="0"/>
              <w:spacing w:before="0" w:after="283"/>
              <w:jc w:val="left"/>
              <w:rPr/>
            </w:pPr>
            <w:r>
              <w:rPr/>
              <w:t xml:space="preserve">By: KPG BTC Management LLC, </w:t>
            </w:r>
            <w:r>
              <w:rPr>
                <w:i/>
              </w:rPr>
              <w:t>its sole member</w:t>
            </w:r>
          </w:p>
        </w:tc>
      </w:tr>
      <w:tr>
        <w:trPr/>
        <w:tc>
          <w:tcPr>
            <w:tcW w:w="75" w:type="dxa"/>
            <w:tcBorders/>
            <w:vAlign w:val="center"/>
          </w:tcPr>
          <w:p>
            <w:pPr>
              <w:pStyle w:val="TableContents"/>
              <w:bidi w:val="0"/>
              <w:spacing w:before="0" w:after="283"/>
              <w:jc w:val="left"/>
              <w:rPr/>
            </w:pPr>
            <w:r>
              <w:rPr/>
              <w:t> </w:t>
            </w:r>
          </w:p>
        </w:tc>
        <w:tc>
          <w:tcPr>
            <w:tcW w:w="1708" w:type="dxa"/>
            <w:tcBorders/>
            <w:vAlign w:val="center"/>
          </w:tcPr>
          <w:p>
            <w:pPr>
              <w:pStyle w:val="TableContents"/>
              <w:bidi w:val="0"/>
              <w:spacing w:before="0" w:after="283"/>
              <w:jc w:val="left"/>
              <w:rPr/>
            </w:pPr>
            <w:r>
              <w:rPr/>
              <w:t> </w:t>
            </w:r>
          </w:p>
        </w:tc>
        <w:tc>
          <w:tcPr>
            <w:tcW w:w="48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8" w:type="dxa"/>
            <w:tcBorders/>
            <w:vAlign w:val="center"/>
          </w:tcPr>
          <w:p>
            <w:pPr>
              <w:pStyle w:val="TableContents"/>
              <w:bidi w:val="0"/>
              <w:spacing w:before="0" w:after="283"/>
              <w:jc w:val="left"/>
              <w:rPr/>
            </w:pPr>
            <w:r>
              <w:rPr/>
              <w:t>By:</w:t>
            </w:r>
          </w:p>
        </w:tc>
        <w:tc>
          <w:tcPr>
            <w:tcW w:w="4866" w:type="dxa"/>
            <w:tcBorders>
              <w:bottom w:val="single" w:sz="12" w:space="0" w:color="000000"/>
            </w:tcBorders>
            <w:tcMar>
              <w:bottom w:w="28" w:type="dxa"/>
            </w:tcMar>
            <w:vAlign w:val="center"/>
          </w:tcPr>
          <w:p>
            <w:pPr>
              <w:pStyle w:val="TableContents"/>
              <w:bidi w:val="0"/>
              <w:spacing w:before="0" w:after="283"/>
              <w:jc w:val="left"/>
              <w:rPr/>
            </w:pPr>
            <w:r>
              <w:rPr/>
              <w:t>/s/ Kevin Genda</w:t>
            </w:r>
          </w:p>
        </w:tc>
      </w:tr>
      <w:tr>
        <w:trPr/>
        <w:tc>
          <w:tcPr>
            <w:tcW w:w="75" w:type="dxa"/>
            <w:tcBorders/>
            <w:vAlign w:val="center"/>
          </w:tcPr>
          <w:p>
            <w:pPr>
              <w:pStyle w:val="TableContents"/>
              <w:bidi w:val="0"/>
              <w:spacing w:before="0" w:after="283"/>
              <w:jc w:val="left"/>
              <w:rPr/>
            </w:pPr>
            <w:r>
              <w:rPr/>
              <w:t> </w:t>
            </w:r>
          </w:p>
        </w:tc>
        <w:tc>
          <w:tcPr>
            <w:tcW w:w="1708" w:type="dxa"/>
            <w:tcBorders/>
            <w:vAlign w:val="center"/>
          </w:tcPr>
          <w:p>
            <w:pPr>
              <w:pStyle w:val="TableContents"/>
              <w:bidi w:val="0"/>
              <w:spacing w:before="0" w:after="283"/>
              <w:jc w:val="left"/>
              <w:rPr/>
            </w:pPr>
            <w:r>
              <w:rPr/>
              <w:t>Name:</w:t>
            </w:r>
          </w:p>
        </w:tc>
        <w:tc>
          <w:tcPr>
            <w:tcW w:w="4866" w:type="dxa"/>
            <w:tcBorders/>
            <w:vAlign w:val="center"/>
          </w:tcPr>
          <w:p>
            <w:pPr>
              <w:pStyle w:val="TableContents"/>
              <w:bidi w:val="0"/>
              <w:spacing w:before="0" w:after="283"/>
              <w:jc w:val="left"/>
              <w:rPr/>
            </w:pPr>
            <w:r>
              <w:rPr/>
              <w:t>Kevin Genda</w:t>
            </w:r>
          </w:p>
        </w:tc>
      </w:tr>
      <w:tr>
        <w:trPr/>
        <w:tc>
          <w:tcPr>
            <w:tcW w:w="75" w:type="dxa"/>
            <w:tcBorders/>
            <w:vAlign w:val="center"/>
          </w:tcPr>
          <w:p>
            <w:pPr>
              <w:pStyle w:val="TableContents"/>
              <w:bidi w:val="0"/>
              <w:spacing w:before="0" w:after="283"/>
              <w:jc w:val="left"/>
              <w:rPr/>
            </w:pPr>
            <w:r>
              <w:rPr/>
              <w:t> </w:t>
            </w:r>
          </w:p>
        </w:tc>
        <w:tc>
          <w:tcPr>
            <w:tcW w:w="1708" w:type="dxa"/>
            <w:tcBorders/>
            <w:vAlign w:val="center"/>
          </w:tcPr>
          <w:p>
            <w:pPr>
              <w:pStyle w:val="TableContents"/>
              <w:bidi w:val="0"/>
              <w:spacing w:before="0" w:after="283"/>
              <w:jc w:val="left"/>
              <w:rPr/>
            </w:pPr>
            <w:r>
              <w:rPr/>
              <w:t>Title:</w:t>
            </w:r>
          </w:p>
        </w:tc>
        <w:tc>
          <w:tcPr>
            <w:tcW w:w="4866" w:type="dxa"/>
            <w:tcBorders/>
            <w:vAlign w:val="center"/>
          </w:tcPr>
          <w:p>
            <w:pPr>
              <w:pStyle w:val="TableContents"/>
              <w:bidi w:val="0"/>
              <w:spacing w:before="0" w:after="283"/>
              <w:jc w:val="left"/>
              <w:rPr/>
            </w:pPr>
            <w:r>
              <w:rPr/>
              <w:t>Managing Member</w:t>
            </w:r>
          </w:p>
        </w:tc>
      </w:tr>
      <w:tr>
        <w:trPr/>
        <w:tc>
          <w:tcPr>
            <w:tcW w:w="75" w:type="dxa"/>
            <w:tcBorders/>
            <w:vAlign w:val="center"/>
          </w:tcPr>
          <w:p>
            <w:pPr>
              <w:pStyle w:val="TableContents"/>
              <w:bidi w:val="0"/>
              <w:spacing w:before="0" w:after="283"/>
              <w:jc w:val="left"/>
              <w:rPr/>
            </w:pPr>
            <w:r>
              <w:rPr/>
              <w:t> </w:t>
            </w:r>
          </w:p>
        </w:tc>
        <w:tc>
          <w:tcPr>
            <w:tcW w:w="1708" w:type="dxa"/>
            <w:tcBorders/>
            <w:vAlign w:val="center"/>
          </w:tcPr>
          <w:p>
            <w:pPr>
              <w:pStyle w:val="TableContents"/>
              <w:bidi w:val="0"/>
              <w:spacing w:before="0" w:after="283"/>
              <w:jc w:val="left"/>
              <w:rPr/>
            </w:pPr>
            <w:r>
              <w:rPr/>
              <w:t> </w:t>
            </w:r>
          </w:p>
        </w:tc>
        <w:tc>
          <w:tcPr>
            <w:tcW w:w="48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74" w:type="dxa"/>
            <w:gridSpan w:val="2"/>
            <w:tcBorders/>
            <w:vAlign w:val="center"/>
          </w:tcPr>
          <w:p>
            <w:pPr>
              <w:pStyle w:val="TableContents"/>
              <w:bidi w:val="0"/>
              <w:spacing w:before="0" w:after="283"/>
              <w:jc w:val="left"/>
              <w:rPr>
                <w:b/>
              </w:rPr>
            </w:pPr>
            <w:r>
              <w:rPr>
                <w:b/>
              </w:rPr>
              <w:t>BTC HOLDINGS FUND III-B LLC</w:t>
            </w:r>
          </w:p>
        </w:tc>
      </w:tr>
      <w:tr>
        <w:trPr/>
        <w:tc>
          <w:tcPr>
            <w:tcW w:w="75" w:type="dxa"/>
            <w:tcBorders/>
            <w:vAlign w:val="center"/>
          </w:tcPr>
          <w:p>
            <w:pPr>
              <w:pStyle w:val="TableContents"/>
              <w:bidi w:val="0"/>
              <w:spacing w:before="0" w:after="283"/>
              <w:jc w:val="left"/>
              <w:rPr/>
            </w:pPr>
            <w:r>
              <w:rPr/>
              <w:t> </w:t>
            </w:r>
          </w:p>
        </w:tc>
        <w:tc>
          <w:tcPr>
            <w:tcW w:w="65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74" w:type="dxa"/>
            <w:gridSpan w:val="2"/>
            <w:tcBorders/>
            <w:vAlign w:val="center"/>
          </w:tcPr>
          <w:p>
            <w:pPr>
              <w:pStyle w:val="TableContents"/>
              <w:bidi w:val="0"/>
              <w:spacing w:before="0" w:after="283"/>
              <w:jc w:val="left"/>
              <w:rPr/>
            </w:pPr>
            <w:r>
              <w:rPr/>
              <w:t xml:space="preserve">By: Blue Torch Credit Opportunities Fund III LP, </w:t>
            </w:r>
            <w:r>
              <w:rPr>
                <w:i/>
              </w:rPr>
              <w:t>its sole member</w:t>
            </w:r>
          </w:p>
        </w:tc>
      </w:tr>
      <w:tr>
        <w:trPr/>
        <w:tc>
          <w:tcPr>
            <w:tcW w:w="75" w:type="dxa"/>
            <w:tcBorders/>
            <w:vAlign w:val="center"/>
          </w:tcPr>
          <w:p>
            <w:pPr>
              <w:pStyle w:val="TableContents"/>
              <w:bidi w:val="0"/>
              <w:spacing w:before="0" w:after="283"/>
              <w:jc w:val="left"/>
              <w:rPr/>
            </w:pPr>
            <w:r>
              <w:rPr/>
              <w:t> </w:t>
            </w:r>
          </w:p>
        </w:tc>
        <w:tc>
          <w:tcPr>
            <w:tcW w:w="65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74" w:type="dxa"/>
            <w:gridSpan w:val="2"/>
            <w:tcBorders/>
            <w:vAlign w:val="center"/>
          </w:tcPr>
          <w:p>
            <w:pPr>
              <w:pStyle w:val="TableContents"/>
              <w:bidi w:val="0"/>
              <w:spacing w:before="0" w:after="283"/>
              <w:jc w:val="left"/>
              <w:rPr/>
            </w:pPr>
            <w:r>
              <w:rPr/>
              <w:t xml:space="preserve">By: Blue Torch Credit Opportunities GP III LLC, </w:t>
            </w:r>
            <w:r>
              <w:rPr>
                <w:i/>
              </w:rPr>
              <w:t>its general partner</w:t>
            </w:r>
          </w:p>
        </w:tc>
      </w:tr>
      <w:tr>
        <w:trPr/>
        <w:tc>
          <w:tcPr>
            <w:tcW w:w="75" w:type="dxa"/>
            <w:tcBorders/>
            <w:vAlign w:val="center"/>
          </w:tcPr>
          <w:p>
            <w:pPr>
              <w:pStyle w:val="TableContents"/>
              <w:bidi w:val="0"/>
              <w:spacing w:before="0" w:after="283"/>
              <w:jc w:val="left"/>
              <w:rPr/>
            </w:pPr>
            <w:r>
              <w:rPr/>
              <w:t> </w:t>
            </w:r>
          </w:p>
        </w:tc>
        <w:tc>
          <w:tcPr>
            <w:tcW w:w="65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74" w:type="dxa"/>
            <w:gridSpan w:val="2"/>
            <w:tcBorders/>
            <w:vAlign w:val="center"/>
          </w:tcPr>
          <w:p>
            <w:pPr>
              <w:pStyle w:val="TableContents"/>
              <w:bidi w:val="0"/>
              <w:spacing w:before="0" w:after="283"/>
              <w:jc w:val="left"/>
              <w:rPr/>
            </w:pPr>
            <w:r>
              <w:rPr/>
              <w:t xml:space="preserve">By: KPG BTC Management LLC, </w:t>
            </w:r>
            <w:r>
              <w:rPr>
                <w:i/>
              </w:rPr>
              <w:t>its sole member</w:t>
            </w:r>
          </w:p>
        </w:tc>
      </w:tr>
      <w:tr>
        <w:trPr/>
        <w:tc>
          <w:tcPr>
            <w:tcW w:w="75" w:type="dxa"/>
            <w:tcBorders/>
            <w:vAlign w:val="center"/>
          </w:tcPr>
          <w:p>
            <w:pPr>
              <w:pStyle w:val="TableContents"/>
              <w:bidi w:val="0"/>
              <w:spacing w:before="0" w:after="283"/>
              <w:jc w:val="left"/>
              <w:rPr/>
            </w:pPr>
            <w:r>
              <w:rPr/>
              <w:t> </w:t>
            </w:r>
          </w:p>
        </w:tc>
        <w:tc>
          <w:tcPr>
            <w:tcW w:w="1708" w:type="dxa"/>
            <w:tcBorders/>
            <w:vAlign w:val="center"/>
          </w:tcPr>
          <w:p>
            <w:pPr>
              <w:pStyle w:val="TableContents"/>
              <w:bidi w:val="0"/>
              <w:spacing w:before="0" w:after="283"/>
              <w:jc w:val="left"/>
              <w:rPr/>
            </w:pPr>
            <w:r>
              <w:rPr/>
              <w:t> </w:t>
            </w:r>
          </w:p>
        </w:tc>
        <w:tc>
          <w:tcPr>
            <w:tcW w:w="48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8" w:type="dxa"/>
            <w:tcBorders/>
            <w:vAlign w:val="center"/>
          </w:tcPr>
          <w:p>
            <w:pPr>
              <w:pStyle w:val="TableContents"/>
              <w:bidi w:val="0"/>
              <w:spacing w:before="0" w:after="283"/>
              <w:jc w:val="left"/>
              <w:rPr/>
            </w:pPr>
            <w:r>
              <w:rPr/>
              <w:t>By:</w:t>
            </w:r>
          </w:p>
        </w:tc>
        <w:tc>
          <w:tcPr>
            <w:tcW w:w="4866" w:type="dxa"/>
            <w:tcBorders>
              <w:bottom w:val="single" w:sz="12" w:space="0" w:color="000000"/>
            </w:tcBorders>
            <w:tcMar>
              <w:bottom w:w="28" w:type="dxa"/>
            </w:tcMar>
            <w:vAlign w:val="center"/>
          </w:tcPr>
          <w:p>
            <w:pPr>
              <w:pStyle w:val="TableContents"/>
              <w:bidi w:val="0"/>
              <w:spacing w:before="0" w:after="283"/>
              <w:jc w:val="left"/>
              <w:rPr/>
            </w:pPr>
            <w:r>
              <w:rPr/>
              <w:t>/s/ Kevin Genda</w:t>
            </w:r>
          </w:p>
        </w:tc>
      </w:tr>
      <w:tr>
        <w:trPr/>
        <w:tc>
          <w:tcPr>
            <w:tcW w:w="75" w:type="dxa"/>
            <w:tcBorders/>
            <w:vAlign w:val="center"/>
          </w:tcPr>
          <w:p>
            <w:pPr>
              <w:pStyle w:val="TableContents"/>
              <w:bidi w:val="0"/>
              <w:spacing w:before="0" w:after="283"/>
              <w:jc w:val="left"/>
              <w:rPr/>
            </w:pPr>
            <w:r>
              <w:rPr/>
              <w:t> </w:t>
            </w:r>
          </w:p>
        </w:tc>
        <w:tc>
          <w:tcPr>
            <w:tcW w:w="1708" w:type="dxa"/>
            <w:tcBorders/>
            <w:vAlign w:val="center"/>
          </w:tcPr>
          <w:p>
            <w:pPr>
              <w:pStyle w:val="TableContents"/>
              <w:bidi w:val="0"/>
              <w:spacing w:before="0" w:after="283"/>
              <w:jc w:val="left"/>
              <w:rPr/>
            </w:pPr>
            <w:r>
              <w:rPr/>
              <w:t>Name:</w:t>
            </w:r>
          </w:p>
        </w:tc>
        <w:tc>
          <w:tcPr>
            <w:tcW w:w="4866" w:type="dxa"/>
            <w:tcBorders/>
            <w:vAlign w:val="center"/>
          </w:tcPr>
          <w:p>
            <w:pPr>
              <w:pStyle w:val="TableContents"/>
              <w:bidi w:val="0"/>
              <w:spacing w:before="0" w:after="283"/>
              <w:jc w:val="left"/>
              <w:rPr/>
            </w:pPr>
            <w:r>
              <w:rPr/>
              <w:t>Kevin Genda</w:t>
            </w:r>
          </w:p>
        </w:tc>
      </w:tr>
      <w:tr>
        <w:trPr/>
        <w:tc>
          <w:tcPr>
            <w:tcW w:w="75" w:type="dxa"/>
            <w:tcBorders/>
            <w:vAlign w:val="center"/>
          </w:tcPr>
          <w:p>
            <w:pPr>
              <w:pStyle w:val="TableContents"/>
              <w:bidi w:val="0"/>
              <w:spacing w:before="0" w:after="283"/>
              <w:jc w:val="left"/>
              <w:rPr/>
            </w:pPr>
            <w:r>
              <w:rPr/>
              <w:t> </w:t>
            </w:r>
          </w:p>
        </w:tc>
        <w:tc>
          <w:tcPr>
            <w:tcW w:w="1708" w:type="dxa"/>
            <w:tcBorders/>
            <w:vAlign w:val="center"/>
          </w:tcPr>
          <w:p>
            <w:pPr>
              <w:pStyle w:val="TableContents"/>
              <w:bidi w:val="0"/>
              <w:spacing w:before="0" w:after="283"/>
              <w:jc w:val="left"/>
              <w:rPr/>
            </w:pPr>
            <w:r>
              <w:rPr/>
              <w:t>Title:</w:t>
            </w:r>
          </w:p>
        </w:tc>
        <w:tc>
          <w:tcPr>
            <w:tcW w:w="4866" w:type="dxa"/>
            <w:tcBorders/>
            <w:vAlign w:val="center"/>
          </w:tcPr>
          <w:p>
            <w:pPr>
              <w:pStyle w:val="TableContents"/>
              <w:bidi w:val="0"/>
              <w:spacing w:before="0" w:after="283"/>
              <w:jc w:val="left"/>
              <w:rPr/>
            </w:pPr>
            <w:r>
              <w:rPr/>
              <w:t>Managing Member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1 to Financing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7984" w:type="dxa"/>
        <w:jc w:val="left"/>
        <w:tblInd w:w="0" w:type="dxa"/>
        <w:tblLayout w:type="fixed"/>
        <w:tblCellMar>
          <w:top w:w="0" w:type="dxa"/>
          <w:left w:w="0" w:type="dxa"/>
          <w:bottom w:w="0" w:type="dxa"/>
          <w:right w:w="0" w:type="dxa"/>
        </w:tblCellMar>
      </w:tblPr>
      <w:tblGrid>
        <w:gridCol w:w="75"/>
        <w:gridCol w:w="2055"/>
        <w:gridCol w:w="5854"/>
      </w:tblGrid>
      <w:tr>
        <w:trPr/>
        <w:tc>
          <w:tcPr>
            <w:tcW w:w="75" w:type="dxa"/>
            <w:tcBorders/>
            <w:vAlign w:val="center"/>
          </w:tcPr>
          <w:p>
            <w:pPr>
              <w:pStyle w:val="TableContents"/>
              <w:bidi w:val="0"/>
              <w:spacing w:before="0" w:after="283"/>
              <w:jc w:val="both"/>
              <w:rPr/>
            </w:pPr>
            <w:r>
              <w:rPr/>
              <w:t> </w:t>
            </w:r>
          </w:p>
        </w:tc>
        <w:tc>
          <w:tcPr>
            <w:tcW w:w="7909" w:type="dxa"/>
            <w:gridSpan w:val="2"/>
            <w:tcBorders/>
            <w:vAlign w:val="center"/>
          </w:tcPr>
          <w:p>
            <w:pPr>
              <w:pStyle w:val="TableContents"/>
              <w:bidi w:val="0"/>
              <w:spacing w:before="0" w:after="283"/>
              <w:jc w:val="both"/>
              <w:rPr>
                <w:b/>
              </w:rPr>
            </w:pPr>
            <w:r>
              <w:rPr>
                <w:b/>
              </w:rPr>
              <w:t>BTC HOLDINGS SC FUND LLC</w:t>
            </w:r>
          </w:p>
        </w:tc>
      </w:tr>
      <w:tr>
        <w:trPr/>
        <w:tc>
          <w:tcPr>
            <w:tcW w:w="75" w:type="dxa"/>
            <w:tcBorders/>
            <w:vAlign w:val="center"/>
          </w:tcPr>
          <w:p>
            <w:pPr>
              <w:pStyle w:val="TableContents"/>
              <w:bidi w:val="0"/>
              <w:spacing w:before="0" w:after="283"/>
              <w:jc w:val="left"/>
              <w:rPr/>
            </w:pPr>
            <w:r>
              <w:rPr/>
              <w:t> </w:t>
            </w:r>
          </w:p>
        </w:tc>
        <w:tc>
          <w:tcPr>
            <w:tcW w:w="79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7909" w:type="dxa"/>
            <w:gridSpan w:val="2"/>
            <w:tcBorders/>
            <w:vAlign w:val="center"/>
          </w:tcPr>
          <w:p>
            <w:pPr>
              <w:pStyle w:val="TableContents"/>
              <w:bidi w:val="0"/>
              <w:spacing w:before="0" w:after="283"/>
              <w:jc w:val="both"/>
              <w:rPr/>
            </w:pPr>
            <w:r>
              <w:rPr/>
              <w:t xml:space="preserve">By: Blue Torch Credit Opportunities SC Master Fund LP, </w:t>
            </w:r>
            <w:r>
              <w:rPr>
                <w:i/>
              </w:rPr>
              <w:t>its sole member</w:t>
            </w:r>
          </w:p>
        </w:tc>
      </w:tr>
      <w:tr>
        <w:trPr/>
        <w:tc>
          <w:tcPr>
            <w:tcW w:w="75" w:type="dxa"/>
            <w:tcBorders/>
            <w:vAlign w:val="center"/>
          </w:tcPr>
          <w:p>
            <w:pPr>
              <w:pStyle w:val="TableContents"/>
              <w:bidi w:val="0"/>
              <w:spacing w:before="0" w:after="283"/>
              <w:jc w:val="left"/>
              <w:rPr/>
            </w:pPr>
            <w:r>
              <w:rPr/>
              <w:t> </w:t>
            </w:r>
          </w:p>
        </w:tc>
        <w:tc>
          <w:tcPr>
            <w:tcW w:w="79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7909" w:type="dxa"/>
            <w:gridSpan w:val="2"/>
            <w:tcBorders/>
            <w:vAlign w:val="center"/>
          </w:tcPr>
          <w:p>
            <w:pPr>
              <w:pStyle w:val="TableContents"/>
              <w:bidi w:val="0"/>
              <w:spacing w:before="0" w:after="283"/>
              <w:jc w:val="both"/>
              <w:rPr/>
            </w:pPr>
            <w:r>
              <w:rPr/>
              <w:t xml:space="preserve">By: Blue Torch Credit Opportunities SC GP LLC, </w:t>
            </w:r>
            <w:r>
              <w:rPr>
                <w:i/>
              </w:rPr>
              <w:t>its general partner</w:t>
            </w:r>
          </w:p>
        </w:tc>
      </w:tr>
      <w:tr>
        <w:trPr/>
        <w:tc>
          <w:tcPr>
            <w:tcW w:w="75" w:type="dxa"/>
            <w:tcBorders/>
            <w:vAlign w:val="center"/>
          </w:tcPr>
          <w:p>
            <w:pPr>
              <w:pStyle w:val="TableContents"/>
              <w:bidi w:val="0"/>
              <w:spacing w:before="0" w:after="283"/>
              <w:jc w:val="left"/>
              <w:rPr/>
            </w:pPr>
            <w:r>
              <w:rPr/>
              <w:t> </w:t>
            </w:r>
          </w:p>
        </w:tc>
        <w:tc>
          <w:tcPr>
            <w:tcW w:w="79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7909" w:type="dxa"/>
            <w:gridSpan w:val="2"/>
            <w:tcBorders/>
            <w:vAlign w:val="center"/>
          </w:tcPr>
          <w:p>
            <w:pPr>
              <w:pStyle w:val="TableContents"/>
              <w:bidi w:val="0"/>
              <w:spacing w:before="0" w:after="283"/>
              <w:jc w:val="both"/>
              <w:rPr/>
            </w:pPr>
            <w:r>
              <w:rPr/>
              <w:t xml:space="preserve">By: KPG BTC Management LLC, </w:t>
            </w:r>
            <w:r>
              <w:rPr>
                <w:i/>
              </w:rPr>
              <w:t>its sole member</w:t>
            </w:r>
          </w:p>
        </w:tc>
      </w:tr>
      <w:tr>
        <w:trPr/>
        <w:tc>
          <w:tcPr>
            <w:tcW w:w="75" w:type="dxa"/>
            <w:tcBorders/>
            <w:vAlign w:val="center"/>
          </w:tcPr>
          <w:p>
            <w:pPr>
              <w:pStyle w:val="TableContents"/>
              <w:bidi w:val="0"/>
              <w:spacing w:before="0" w:after="283"/>
              <w:jc w:val="left"/>
              <w:rPr/>
            </w:pPr>
            <w:r>
              <w:rPr/>
              <w:t> </w:t>
            </w:r>
          </w:p>
        </w:tc>
        <w:tc>
          <w:tcPr>
            <w:tcW w:w="2055" w:type="dxa"/>
            <w:tcBorders/>
            <w:vAlign w:val="center"/>
          </w:tcPr>
          <w:p>
            <w:pPr>
              <w:pStyle w:val="TableContents"/>
              <w:bidi w:val="0"/>
              <w:spacing w:before="0" w:after="283"/>
              <w:jc w:val="left"/>
              <w:rPr/>
            </w:pPr>
            <w:r>
              <w:rPr/>
              <w:t> </w:t>
            </w:r>
          </w:p>
        </w:tc>
        <w:tc>
          <w:tcPr>
            <w:tcW w:w="585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2055" w:type="dxa"/>
            <w:tcBorders/>
            <w:vAlign w:val="center"/>
          </w:tcPr>
          <w:p>
            <w:pPr>
              <w:pStyle w:val="TableContents"/>
              <w:bidi w:val="0"/>
              <w:spacing w:before="0" w:after="283"/>
              <w:jc w:val="both"/>
              <w:rPr/>
            </w:pPr>
            <w:r>
              <w:rPr/>
              <w:t>By:</w:t>
            </w:r>
          </w:p>
        </w:tc>
        <w:tc>
          <w:tcPr>
            <w:tcW w:w="5854" w:type="dxa"/>
            <w:tcBorders>
              <w:bottom w:val="single" w:sz="12" w:space="0" w:color="000000"/>
            </w:tcBorders>
            <w:tcMar>
              <w:bottom w:w="28" w:type="dxa"/>
            </w:tcMar>
            <w:vAlign w:val="center"/>
          </w:tcPr>
          <w:p>
            <w:pPr>
              <w:pStyle w:val="TableContents"/>
              <w:bidi w:val="0"/>
              <w:spacing w:before="0" w:after="283"/>
              <w:jc w:val="both"/>
              <w:rPr/>
            </w:pPr>
            <w:r>
              <w:rPr/>
              <w:t>/s/ Kevin Genda</w:t>
            </w:r>
          </w:p>
        </w:tc>
      </w:tr>
      <w:tr>
        <w:trPr/>
        <w:tc>
          <w:tcPr>
            <w:tcW w:w="75" w:type="dxa"/>
            <w:tcBorders/>
            <w:vAlign w:val="center"/>
          </w:tcPr>
          <w:p>
            <w:pPr>
              <w:pStyle w:val="TableContents"/>
              <w:bidi w:val="0"/>
              <w:spacing w:before="0" w:after="283"/>
              <w:jc w:val="both"/>
              <w:rPr/>
            </w:pPr>
            <w:r>
              <w:rPr/>
              <w:t> </w:t>
            </w:r>
          </w:p>
        </w:tc>
        <w:tc>
          <w:tcPr>
            <w:tcW w:w="2055" w:type="dxa"/>
            <w:tcBorders/>
            <w:vAlign w:val="center"/>
          </w:tcPr>
          <w:p>
            <w:pPr>
              <w:pStyle w:val="TableContents"/>
              <w:bidi w:val="0"/>
              <w:spacing w:before="0" w:after="283"/>
              <w:jc w:val="both"/>
              <w:rPr/>
            </w:pPr>
            <w:r>
              <w:rPr/>
              <w:t>Name:</w:t>
            </w:r>
          </w:p>
        </w:tc>
        <w:tc>
          <w:tcPr>
            <w:tcW w:w="5854" w:type="dxa"/>
            <w:tcBorders/>
            <w:vAlign w:val="center"/>
          </w:tcPr>
          <w:p>
            <w:pPr>
              <w:pStyle w:val="TableContents"/>
              <w:bidi w:val="0"/>
              <w:spacing w:before="0" w:after="283"/>
              <w:jc w:val="both"/>
              <w:rPr/>
            </w:pPr>
            <w:r>
              <w:rPr/>
              <w:t>Kevin Genda</w:t>
            </w:r>
          </w:p>
        </w:tc>
      </w:tr>
      <w:tr>
        <w:trPr/>
        <w:tc>
          <w:tcPr>
            <w:tcW w:w="75" w:type="dxa"/>
            <w:tcBorders/>
            <w:vAlign w:val="center"/>
          </w:tcPr>
          <w:p>
            <w:pPr>
              <w:pStyle w:val="TableContents"/>
              <w:bidi w:val="0"/>
              <w:spacing w:before="0" w:after="283"/>
              <w:jc w:val="both"/>
              <w:rPr/>
            </w:pPr>
            <w:r>
              <w:rPr/>
              <w:t> </w:t>
            </w:r>
          </w:p>
        </w:tc>
        <w:tc>
          <w:tcPr>
            <w:tcW w:w="2055" w:type="dxa"/>
            <w:tcBorders/>
            <w:vAlign w:val="center"/>
          </w:tcPr>
          <w:p>
            <w:pPr>
              <w:pStyle w:val="TableContents"/>
              <w:bidi w:val="0"/>
              <w:spacing w:before="0" w:after="283"/>
              <w:jc w:val="both"/>
              <w:rPr/>
            </w:pPr>
            <w:r>
              <w:rPr/>
              <w:t>Title:</w:t>
            </w:r>
          </w:p>
        </w:tc>
        <w:tc>
          <w:tcPr>
            <w:tcW w:w="5854" w:type="dxa"/>
            <w:tcBorders/>
            <w:vAlign w:val="center"/>
          </w:tcPr>
          <w:p>
            <w:pPr>
              <w:pStyle w:val="TableContents"/>
              <w:bidi w:val="0"/>
              <w:spacing w:before="0" w:after="283"/>
              <w:jc w:val="both"/>
              <w:rPr/>
            </w:pPr>
            <w:r>
              <w:rPr/>
              <w:t>Managing Member</w:t>
            </w:r>
          </w:p>
        </w:tc>
      </w:tr>
      <w:tr>
        <w:trPr/>
        <w:tc>
          <w:tcPr>
            <w:tcW w:w="75" w:type="dxa"/>
            <w:tcBorders/>
            <w:vAlign w:val="center"/>
          </w:tcPr>
          <w:p>
            <w:pPr>
              <w:pStyle w:val="TableContents"/>
              <w:bidi w:val="0"/>
              <w:spacing w:before="0" w:after="283"/>
              <w:jc w:val="both"/>
              <w:rPr/>
            </w:pPr>
            <w:r>
              <w:rPr/>
              <w:t> </w:t>
            </w:r>
          </w:p>
        </w:tc>
        <w:tc>
          <w:tcPr>
            <w:tcW w:w="2055" w:type="dxa"/>
            <w:tcBorders/>
            <w:vAlign w:val="center"/>
          </w:tcPr>
          <w:p>
            <w:pPr>
              <w:pStyle w:val="TableContents"/>
              <w:bidi w:val="0"/>
              <w:spacing w:before="0" w:after="283"/>
              <w:jc w:val="both"/>
              <w:rPr/>
            </w:pPr>
            <w:r>
              <w:rPr/>
              <w:t> </w:t>
            </w:r>
          </w:p>
        </w:tc>
        <w:tc>
          <w:tcPr>
            <w:tcW w:w="585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7909" w:type="dxa"/>
            <w:gridSpan w:val="2"/>
            <w:tcBorders/>
            <w:vAlign w:val="center"/>
          </w:tcPr>
          <w:p>
            <w:pPr>
              <w:pStyle w:val="TableContents"/>
              <w:bidi w:val="0"/>
              <w:spacing w:before="0" w:after="283"/>
              <w:jc w:val="both"/>
              <w:rPr>
                <w:b/>
              </w:rPr>
            </w:pPr>
            <w:r>
              <w:rPr>
                <w:b/>
              </w:rPr>
              <w:t>BTC OFFSHORE HOLDINGS FUND III LLC</w:t>
            </w:r>
          </w:p>
        </w:tc>
      </w:tr>
      <w:tr>
        <w:trPr/>
        <w:tc>
          <w:tcPr>
            <w:tcW w:w="75" w:type="dxa"/>
            <w:tcBorders/>
            <w:vAlign w:val="center"/>
          </w:tcPr>
          <w:p>
            <w:pPr>
              <w:pStyle w:val="TableContents"/>
              <w:bidi w:val="0"/>
              <w:spacing w:before="0" w:after="283"/>
              <w:jc w:val="left"/>
              <w:rPr/>
            </w:pPr>
            <w:r>
              <w:rPr/>
              <w:t> </w:t>
            </w:r>
          </w:p>
        </w:tc>
        <w:tc>
          <w:tcPr>
            <w:tcW w:w="79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7909" w:type="dxa"/>
            <w:gridSpan w:val="2"/>
            <w:tcBorders/>
            <w:vAlign w:val="center"/>
          </w:tcPr>
          <w:p>
            <w:pPr>
              <w:pStyle w:val="TableContents"/>
              <w:bidi w:val="0"/>
              <w:spacing w:before="0" w:after="283"/>
              <w:jc w:val="both"/>
              <w:rPr/>
            </w:pPr>
            <w:r>
              <w:rPr/>
              <w:t xml:space="preserve">By: Blue Torch Offshore Credit Opportunities Master Fund III LP, </w:t>
            </w:r>
            <w:r>
              <w:rPr>
                <w:i/>
              </w:rPr>
              <w:t>its sole member</w:t>
            </w:r>
          </w:p>
        </w:tc>
      </w:tr>
      <w:tr>
        <w:trPr/>
        <w:tc>
          <w:tcPr>
            <w:tcW w:w="75" w:type="dxa"/>
            <w:tcBorders/>
            <w:vAlign w:val="center"/>
          </w:tcPr>
          <w:p>
            <w:pPr>
              <w:pStyle w:val="TableContents"/>
              <w:bidi w:val="0"/>
              <w:spacing w:before="0" w:after="283"/>
              <w:jc w:val="both"/>
              <w:rPr/>
            </w:pPr>
            <w:r>
              <w:rPr/>
              <w:t> </w:t>
            </w:r>
          </w:p>
        </w:tc>
        <w:tc>
          <w:tcPr>
            <w:tcW w:w="7909"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7909" w:type="dxa"/>
            <w:gridSpan w:val="2"/>
            <w:tcBorders/>
            <w:vAlign w:val="center"/>
          </w:tcPr>
          <w:p>
            <w:pPr>
              <w:pStyle w:val="TableContents"/>
              <w:bidi w:val="0"/>
              <w:spacing w:before="0" w:after="283"/>
              <w:jc w:val="both"/>
              <w:rPr/>
            </w:pPr>
            <w:r>
              <w:rPr/>
              <w:t xml:space="preserve">By: Blue Torch Offshore Credit Opportunities GP III LLC, </w:t>
            </w:r>
            <w:r>
              <w:rPr>
                <w:i/>
              </w:rPr>
              <w:t>its general partner</w:t>
            </w:r>
          </w:p>
        </w:tc>
      </w:tr>
      <w:tr>
        <w:trPr/>
        <w:tc>
          <w:tcPr>
            <w:tcW w:w="75" w:type="dxa"/>
            <w:tcBorders/>
            <w:vAlign w:val="center"/>
          </w:tcPr>
          <w:p>
            <w:pPr>
              <w:pStyle w:val="TableContents"/>
              <w:bidi w:val="0"/>
              <w:spacing w:before="0" w:after="283"/>
              <w:jc w:val="left"/>
              <w:rPr/>
            </w:pPr>
            <w:r>
              <w:rPr/>
              <w:t> </w:t>
            </w:r>
          </w:p>
        </w:tc>
        <w:tc>
          <w:tcPr>
            <w:tcW w:w="79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7909" w:type="dxa"/>
            <w:gridSpan w:val="2"/>
            <w:tcBorders/>
            <w:vAlign w:val="center"/>
          </w:tcPr>
          <w:p>
            <w:pPr>
              <w:pStyle w:val="TableContents"/>
              <w:bidi w:val="0"/>
              <w:spacing w:before="0" w:after="283"/>
              <w:jc w:val="both"/>
              <w:rPr/>
            </w:pPr>
            <w:r>
              <w:rPr/>
              <w:t xml:space="preserve">By: KPG BTC Management LLC, </w:t>
            </w:r>
            <w:r>
              <w:rPr>
                <w:i/>
              </w:rPr>
              <w:t>its sole member</w:t>
            </w:r>
          </w:p>
        </w:tc>
      </w:tr>
      <w:tr>
        <w:trPr/>
        <w:tc>
          <w:tcPr>
            <w:tcW w:w="75" w:type="dxa"/>
            <w:tcBorders/>
            <w:vAlign w:val="center"/>
          </w:tcPr>
          <w:p>
            <w:pPr>
              <w:pStyle w:val="TableContents"/>
              <w:bidi w:val="0"/>
              <w:spacing w:before="0" w:after="283"/>
              <w:jc w:val="left"/>
              <w:rPr/>
            </w:pPr>
            <w:r>
              <w:rPr/>
              <w:t> </w:t>
            </w:r>
          </w:p>
        </w:tc>
        <w:tc>
          <w:tcPr>
            <w:tcW w:w="2055" w:type="dxa"/>
            <w:tcBorders/>
            <w:vAlign w:val="center"/>
          </w:tcPr>
          <w:p>
            <w:pPr>
              <w:pStyle w:val="TableContents"/>
              <w:bidi w:val="0"/>
              <w:spacing w:before="0" w:after="283"/>
              <w:jc w:val="left"/>
              <w:rPr/>
            </w:pPr>
            <w:r>
              <w:rPr/>
              <w:t> </w:t>
            </w:r>
          </w:p>
        </w:tc>
        <w:tc>
          <w:tcPr>
            <w:tcW w:w="585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2055" w:type="dxa"/>
            <w:tcBorders/>
            <w:vAlign w:val="center"/>
          </w:tcPr>
          <w:p>
            <w:pPr>
              <w:pStyle w:val="TableContents"/>
              <w:bidi w:val="0"/>
              <w:spacing w:before="0" w:after="283"/>
              <w:jc w:val="both"/>
              <w:rPr/>
            </w:pPr>
            <w:r>
              <w:rPr/>
              <w:t>By:</w:t>
            </w:r>
          </w:p>
        </w:tc>
        <w:tc>
          <w:tcPr>
            <w:tcW w:w="5854" w:type="dxa"/>
            <w:tcBorders>
              <w:bottom w:val="single" w:sz="12" w:space="0" w:color="000000"/>
            </w:tcBorders>
            <w:tcMar>
              <w:bottom w:w="28" w:type="dxa"/>
            </w:tcMar>
            <w:vAlign w:val="center"/>
          </w:tcPr>
          <w:p>
            <w:pPr>
              <w:pStyle w:val="TableContents"/>
              <w:bidi w:val="0"/>
              <w:spacing w:before="0" w:after="283"/>
              <w:jc w:val="both"/>
              <w:rPr/>
            </w:pPr>
            <w:r>
              <w:rPr/>
              <w:t>/s/ Kevin Genda</w:t>
            </w:r>
          </w:p>
        </w:tc>
      </w:tr>
      <w:tr>
        <w:trPr/>
        <w:tc>
          <w:tcPr>
            <w:tcW w:w="75" w:type="dxa"/>
            <w:tcBorders/>
            <w:vAlign w:val="center"/>
          </w:tcPr>
          <w:p>
            <w:pPr>
              <w:pStyle w:val="TableContents"/>
              <w:bidi w:val="0"/>
              <w:spacing w:before="0" w:after="283"/>
              <w:jc w:val="both"/>
              <w:rPr/>
            </w:pPr>
            <w:r>
              <w:rPr/>
              <w:t> </w:t>
            </w:r>
          </w:p>
        </w:tc>
        <w:tc>
          <w:tcPr>
            <w:tcW w:w="2055" w:type="dxa"/>
            <w:tcBorders/>
            <w:vAlign w:val="center"/>
          </w:tcPr>
          <w:p>
            <w:pPr>
              <w:pStyle w:val="TableContents"/>
              <w:bidi w:val="0"/>
              <w:spacing w:before="0" w:after="283"/>
              <w:jc w:val="both"/>
              <w:rPr/>
            </w:pPr>
            <w:r>
              <w:rPr/>
              <w:t>Name:</w:t>
            </w:r>
          </w:p>
        </w:tc>
        <w:tc>
          <w:tcPr>
            <w:tcW w:w="5854" w:type="dxa"/>
            <w:tcBorders/>
            <w:vAlign w:val="center"/>
          </w:tcPr>
          <w:p>
            <w:pPr>
              <w:pStyle w:val="TableContents"/>
              <w:bidi w:val="0"/>
              <w:spacing w:before="0" w:after="283"/>
              <w:jc w:val="both"/>
              <w:rPr/>
            </w:pPr>
            <w:r>
              <w:rPr/>
              <w:t>Kevin Genda</w:t>
            </w:r>
          </w:p>
        </w:tc>
      </w:tr>
      <w:tr>
        <w:trPr/>
        <w:tc>
          <w:tcPr>
            <w:tcW w:w="75" w:type="dxa"/>
            <w:tcBorders/>
            <w:vAlign w:val="center"/>
          </w:tcPr>
          <w:p>
            <w:pPr>
              <w:pStyle w:val="TableContents"/>
              <w:bidi w:val="0"/>
              <w:spacing w:before="0" w:after="283"/>
              <w:jc w:val="both"/>
              <w:rPr/>
            </w:pPr>
            <w:r>
              <w:rPr/>
              <w:t> </w:t>
            </w:r>
          </w:p>
        </w:tc>
        <w:tc>
          <w:tcPr>
            <w:tcW w:w="2055" w:type="dxa"/>
            <w:tcBorders/>
            <w:vAlign w:val="center"/>
          </w:tcPr>
          <w:p>
            <w:pPr>
              <w:pStyle w:val="TableContents"/>
              <w:bidi w:val="0"/>
              <w:spacing w:before="0" w:after="283"/>
              <w:jc w:val="both"/>
              <w:rPr/>
            </w:pPr>
            <w:r>
              <w:rPr/>
              <w:t>Title:</w:t>
            </w:r>
          </w:p>
        </w:tc>
        <w:tc>
          <w:tcPr>
            <w:tcW w:w="5854" w:type="dxa"/>
            <w:tcBorders/>
            <w:vAlign w:val="center"/>
          </w:tcPr>
          <w:p>
            <w:pPr>
              <w:pStyle w:val="TableContents"/>
              <w:bidi w:val="0"/>
              <w:spacing w:before="0" w:after="283"/>
              <w:jc w:val="both"/>
              <w:rPr/>
            </w:pPr>
            <w:r>
              <w:rPr/>
              <w:t>Managing Member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1 to Financing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jc w:val="center"/>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ea020314101ex99-1_optimize.htm"/>
      <w:bookmarkStart w:id="26" w:name="ksea020314101ex991_optimize"/>
      <w:bookmarkEnd w:id="25"/>
      <w:bookmarkEnd w:id="26"/>
      <w:r>
        <w:rPr>
          <w:rFonts w:ascii="Times New Roman;Times;Serif" w:hAnsi="Times New Roman;Times;Serif"/>
          <w:b/>
          <w:i w:val="false"/>
          <w:caps w:val="false"/>
          <w:smallCaps w:val="false"/>
          <w:sz w:val="20"/>
        </w:rPr>
        <w:t>Exhibit 99.1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6762750" cy="4838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762750" cy="48387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O R P O R A T E   P A R T I C I P A N T 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William J. Febbo, </w:t>
      </w:r>
      <w:r>
        <w:rPr>
          <w:rFonts w:ascii="Times New Roman;Times;Serif" w:hAnsi="Times New Roman;Times;Serif"/>
          <w:b w:val="false"/>
          <w:i/>
          <w:caps w:val="false"/>
          <w:smallCaps w:val="false"/>
          <w:sz w:val="20"/>
        </w:rPr>
        <w:t>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Edward Stelmakh, </w:t>
      </w:r>
      <w:r>
        <w:rPr>
          <w:rFonts w:ascii="Times New Roman;Times;Serif" w:hAnsi="Times New Roman;Times;Serif"/>
          <w:b w:val="false"/>
          <w:i/>
          <w:caps w:val="false"/>
          <w:smallCaps w:val="false"/>
          <w:sz w:val="20"/>
        </w:rPr>
        <w:t>ChiefFinancial Officer and Chief Operational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Steve Silvestro, </w:t>
      </w:r>
      <w:r>
        <w:rPr>
          <w:rFonts w:ascii="Times New Roman;Times;Serif" w:hAnsi="Times New Roman;Times;Serif"/>
          <w:b w:val="false"/>
          <w:i/>
          <w:caps w:val="false"/>
          <w:smallCaps w:val="false"/>
          <w:sz w:val="20"/>
        </w:rPr>
        <w:t>President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Marion Odence-Ford</w:t>
      </w:r>
      <w:r>
        <w:rPr>
          <w:rFonts w:ascii="Times New Roman;Times;Serif" w:hAnsi="Times New Roman;Times;Serif"/>
          <w:b w:val="false"/>
          <w:i/>
          <w:caps w:val="false"/>
          <w:smallCaps w:val="false"/>
          <w:sz w:val="20"/>
        </w:rPr>
        <w:t>, General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Andrew D’Silva</w:t>
      </w:r>
      <w:r>
        <w:rPr>
          <w:rFonts w:ascii="Times New Roman;Times;Serif" w:hAnsi="Times New Roman;Times;Serif"/>
          <w:b w:val="false"/>
          <w:i/>
          <w:caps w:val="false"/>
          <w:smallCaps w:val="false"/>
          <w:sz w:val="20"/>
        </w:rPr>
        <w:t>, SVP of Corporate Finance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O N F E R E N C E   C A L L   P A R T I C I P A N T 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Sean Dodge, </w:t>
      </w:r>
      <w:r>
        <w:rPr>
          <w:rFonts w:ascii="Times New Roman;Times;Serif" w:hAnsi="Times New Roman;Times;Serif"/>
          <w:b w:val="false"/>
          <w:i/>
          <w:caps w:val="false"/>
          <w:smallCaps w:val="false"/>
          <w:sz w:val="20"/>
        </w:rPr>
        <w:t>RBC Capital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Stephanie Davis, </w:t>
      </w:r>
      <w:r>
        <w:rPr>
          <w:rFonts w:ascii="Times New Roman;Times;Serif" w:hAnsi="Times New Roman;Times;Serif"/>
          <w:b w:val="false"/>
          <w:i/>
          <w:caps w:val="false"/>
          <w:smallCaps w:val="false"/>
          <w:sz w:val="20"/>
        </w:rPr>
        <w:t>Barclays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William Wood, </w:t>
      </w:r>
      <w:r>
        <w:rPr>
          <w:rFonts w:ascii="Times New Roman;Times;Serif" w:hAnsi="Times New Roman;Times;Serif"/>
          <w:b w:val="false"/>
          <w:i/>
          <w:caps w:val="false"/>
          <w:smallCaps w:val="false"/>
          <w:sz w:val="20"/>
        </w:rPr>
        <w:t>B. Riley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 R E S E N T A T I O 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 morning, everyone, and thank you for joining OptimizeRx’s Fourth Quarter Fiscal 2023 Conference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us today is the Chief Executive Officer of OptimizeRx, William Febbo. He is joined by Chief Financial Officer, Ed Stelmakh; President, Steve Silvestro; General Counsel, Marion Odence-Ford; and Senior Vice President of Corporate Finance, Andrew D’Silva.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conclusion of today’s call, I will provide some important cautions regarding the forward-looking statements made by Management during today’s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would like to remind everyone that today’s call is being recorded and will be made available for replay via webcast and a transcript and a link to the audio recording of this conference call will be provided on the investor section of the Company’s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I would like to turn the call over to OptimizeRx CEO, William Febbo. Sir, please go ahead.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William J. Febbo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 morning, and thank you for joining our conference call to discuss fourth quarter 2023 preliminary unaudited financials.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already communicated, our audit is taking longer than previous years due to the October 2023 acquisition of Healthy Offers, Inc., which does business under the name of Medicx Health; the November 2023 solutions portfolio streamlining around core business lines; and the validation and testing of certain third-party vendors’ internal processes that are part of our previously disclosed material weakness remediation plan. The audit is in the final stages, and we are confident that we will be in a position to file our 10-K and audited financials no later than April 15th.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 pleased to note that Q4 represented a strong end to 2023, and has favorably positioned us to start 2024. The quarter’s financial results came in better than our initial expectations and topped analyst estimates, with Q4 revenue growing 44% year-over-year to $28.4 million. The improvement was driven by strong organic growth and messaging, led by our Dynamic Audience Activation Platform, or DAAP for short, as well as from approximately two months of contribution from our acquisition of Medicx Health. Notably, our legacy core HCP business grew over 30% when compared to the fourth quarter of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excited about the many business highlights from the fourth quarter. We continue to validate our thesis on DAAP as we increased the number of deals in 2023 to 24 deals, providing us with a significant revenue launch pad this year. Progress coming in ahead of what we had anticipated is very favorable, as, by their nature, these DAAP deals are larger, stickier, and more strategically targeted, making us a more relevant partner with our client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acquired Medicx Health, resulting in the combination of a leading, direct-to-consumer audience activation and messaging execution business with our HCP-focused, omni-channel, digital point-of-care marketing business. This acquisition unlocks a significant adjacent market with an extremely large white space and cross-sell opportunity. The integration of Medicx Health is tracking ahead of schedule, and the majority of integration activities have been completed. Furthermore, we have optimized our operation by trimming our legacy OptimizeRx costs by over 10% and simultaneously realigning our focus on core business lines and moving away from non-core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in our March 11, 2024 press release, we are reiterating our guidance for 2024, but revising our original 2024 revenue target. This revision is due to a change in the revenue accounting treatment for certain revenue streams for messaging executed through Medicx Health’s channel partners that were historically recognized on a gross basis, but now will be recognized on a net basis. As a consequence of this gross to net accounting treatment, we adjusted our revenue target and anticipate revenue to reach at least $100 million for 2024. Importantly, this adjustment maintains our bottom line, and, in fact, enhances our margin profile. Therefore, our Adjusted EBITDA guidance remains unchanged, standing at at least $11 million for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macroeconomic and competitive challenges we identified in 2022 and 2023 are returning to normal. In particular, we’re witnessing encouraging momentum as our clients that had initiated pilot programs with newly established entrants in our field over the past two years are concluding the assessments of these programs, and, as anticipated, are finding that these perceived competitive solutions lack scalability and the ability to adequately report information back to customers, ultimately driving spending back towards our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proceeding, I’d like to express my sincere gratitude to the OptimizeRx team for their unwavering dedication and relentless pursuit of our mission. Over the past few years, our collective efforts have led to the development of one of the most scalable solutions in the industry tailored specifically for pharmaceutical marketers. We’ve recently expanded this initiative to include a highly impactful DTC component. This journey hasn’t been without its challenges. Navigating through the dynamic landscape of the industry shifts and embracing early digital advancements has been no small task, yet OptimizeRx’s achievements stand as a testament to our resilience and foresight, fundamentally reshaping the dynamics of engagement between pharma, patients, and prescribers.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mentioned, in September of last year, we introduced a significant enhancement to our omni-channel healthcare engagement platform known as DAAP. This pioneering AI-driven capability seamlessly integrates point-of-care and traditional digital media, offering a holistic solution for pharmaceutical marketing. The unveiling marks the culmination of years dedicated to the understanding of how AI can augment OptimizeRx’s customer use cases, resulting in a transformative journey for our HCP engagement platform. Building upon our existing technology, we have extended the AI-driven platform reach to encompass social media, web display channels, and CRM alerts, which fosters greater efficiency to collaboration with our customers’ sales forces.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then, we’ve expanded these capabilities to now also encompass the DTC channels utilized by Medicx Health that include streaming in connected TV, as well as various digital channels such as display, audio, online video, and mobile, among others. We’re encouraged by this timely enhancement, as we’ve already witnessed early initial cross-selling success with DAAP in the short time since we’ve consummated the acquisition. We will update everyone regarding our DAAP cross-selling efforts in our Q1 earnings call in early May. DAAP advances our land-and-expand strategy, enabling clients to gain maximum market penetration due to scaling of outreach in real time across the Company’s network of over two million HCPs and 240 million U.S. adults across multiple major digital media channels and at point-of-care via EHRs, e-prescribing, and telehealth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this, OptimizeRx has evolved into one of the most comprehensive digital healthcare marketing platforms in the nation. This evolution firmly aligns with current pharma trends, as the industry is moving the greater portion of their commercial spend towards omni-channel digital solutions, while looking for these solutions to deliver more impactful results by not only identifying patients known to HCPs, but also pinpointing new patients for their therapies. We continue to believe smarter solutions such as our DAAP offering will capture the lion’s share of the pharma spend, particularly with legacy commercial dollars that are reallocated to digital. We believe early proof of this trend is clearly highlighted by the 4x year-over-year increase in DAAP deals seen in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DAAP represents a transformative leap for us, transitioning us from being a mere tactical player within the pharmaceutical industry to a formidable strategic partner. This shift affords us the invaluable advantage of garnering top-down support from decision-makers, while also securing revenue streams with greater durability, enhanced margin, and amplified growth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pivotal developments are reinforcing my level of excitement regarding our strategic positioning. I anticipate that the collective impact of our initiatives outlined today could yield substantial dividends over the next three to five years, catapulting our revenue to multiples of its current standing. As we diligently pursue our land-and-expand strategy, we continue to reap the rewards of delivering superior return on investment, maintaining our impressive ROIs of over 10 to one for HCP messaging. This achievement holds particular significance with the pharmaceutical landscape, where achieving ROIs of two to three times spend has traditionally been the benchmark.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we turned a significant corner in recent months and have incredible momentum going into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that, I’d like to turn the call over to our CFO Ed Stelmakh who will walk us through our financial details. 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Edward Stelmakh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Thanks, Will, and good morning, everyone.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previously, a transcript and a link to an audio recording of this conference call will be provided on the investor section of the Company’s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quarter revenue came in at $28.4 million, an increase of 44% from the $19.7 million recognized during the same period in 2022. This included revenues from our legacy core and non-core business line, as well as from approximately two months of Medicx Health-related revenue streams. Going forward, we will be reporting both OptimizeRx and Medicx Health as one consolidated business. Meanwhile, our previous non-core business lines that we have called access and patient engagement will no longer be revenue streams for the Company and we have eliminated associated costs to these business 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pro forma basis, when stripping out these non-core business lines from our 2023 results and accounting for the full year benefit of Medicx Health financial results in our 2023 actuals, our revenue for calendar year 2023 would have been approximately $91.8 million, which we are utilizing as our comparison point to chart progress going forward.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Meanwhile, our net loss came in at $7.2 million for the fourth quarter of 2023 compared to a loss of $0.3 million during the fourth quarter of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Adjusted EBITDA came in at $5.8 million for the fourth quarter of 2023 compared to $3.9 million during the fourth quarter of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GAAP to non-GAAP reconciliation table has been included in the Investor Relations section of our website at investors.optimizerx.com in the Events and Presentations folder.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ended the year with cash and short-term investments totaling $13.9 million as of December 31, 2023 as compared to $74.1 million on December 31, 2022. The majority of the year-over-year decline was due to our acquisition of Medicx Health and share repurchase program through which we bought back 526,999 shares of common stock for $7.5 million during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debt balance currently stands at $38.3 million. Recall, to help fund the $83.9 million cash portion of the Medicx Health transaction, the Company took on $40 million in debt financing, and we paid off $1.7 million of principal during the fourth quarter. We continue to believe we are well-funded to execute against our operational goals.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that, I would like to turn the call back over to Will. 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William J.Febbo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Thanks, Ed. Operator, now let’s move to Q&amp;A.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(Operator Instructions)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Our first question is from Sean Dodge with RBC Capital Markets. Please proceed with your question.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Sean Dodge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Thanks. Good morning, and congratulations on the strong finish to the year. You signed, Will, you said 24 DAAP deals in ‘23. That was up 4x, four times versus the previous year, so lots of momentum there. Anything you can share on how demand or activity around those has carried into this year? You had mentioned some macro headwinds before. Have those continued to dissipate?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William J. Febbo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Hey, Sean. Yes, thanks, so yes, on macro, for sure, we’re seeing a return to what we saw in ‘21 in terms of our clients making decisions, flow, seasonality, all that good stuff; FDA approvals, all tracking towards previous dip, and yes, and we’ll obviously talk to Q1 in May, but it’s really resonating with the clients. I think we talked a lot about it after the Q3 report that clients are really—the adoption of digital has also forced the adoption of accuracy reporting, data-driven outreach. Less is more if it’s effective, and we’re in the right place at the right time there with this innovative approach, so yes, continued adoption.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I’ll ask Steve just to say a couple of top-level words on the sales training and such, but very positive momentum and really encouraged by the team’s ability to deliver in a way that the clients respond to and in a way that’s efficient around digital. Steve, you want to just chime in a little bit?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Steve Silvestro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happy to. Hey, Sean. Good to hear you. I think one of the other things that’s been really encouraging is that the initial set of DAAP deals that we did previously have renewed and those same set of clients have expanded, so I think that’s also a positive confirmation on value prop and what we’re delivering to those clients, Sean, so that land-and-expand strategy that we talked about previously is really coming to fruition.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I think as Will highlighted, the team’s ability to get a little bit more technical and approach the client in a different way that the sale’s slightly different, right? It’s more of a—much more of a strategic sale in that you’re having a conversation around patient profiles and strategies, a little bit more mature than we would have had in times past, so really encouraged by that, and I think that makes it significantly more sticky. As Will said, we’ll have more positive news to share during Q1, but really encouraged by what we’re seeing on the DAAP front.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Sean Dodge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 and that’s a good segue into my follow-up. Will, you, in your prepared remarks, talked about omni-channel and trends within big pharma. You’ve done the Medicx acquisition. That adds a lot of nice breadth for you. When we think about omni-channel, do you have everything you need there now? Are there other areas or capabilities you think could make sense to bolt on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William J. Febbo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I would say we have no major CapEx. We’ve got the tech that can enable what we’re doing. We’re constantly looking at different types of channel partners, and I think, Sean, that’ll be an evolution pretty much every year, because there’s just so much changing so fast the way doctors and patients interact with their own medical records, with their own doctors, with their caregivers, and so luckily for us, we have a team, and that was enhanced with part of the Medicx team as well, that’s completely focused on channel, and omni-channel is really something that shifts with the needs, right? It’s not a stagnant thing. You don’t get there and you’re done. It’s constantly evolving, but the good news is we’ve got a lot of reach today that is highly relevant that gives us growth, and we’ve got the team to be—keeping their eye on the ball on what’s next in terms of enablement for communication with both HCPs and patients’ and consumers’ health.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Sean Dodge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Okay. That’s great color. Thanks, and congrats again.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William J. Febbo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Thanks, Sean.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Our next question is from Stephanie Davis with Barclays. Please proceed with your question.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Stephanie Davis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Hey, guys. Thanks for taking my questions. You’re talking about trimming costs further, but you’re talking about also a few different initiatives that would normally require some headcount investment, such as the DAAP wins and the Walmart partnership. Can you just walk us through how to think about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William J. Febbo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sure. Hey, Stephanie. Good to hear your voice, so no, we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Stephanie Davis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 time no talk.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William J. Febbo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I know, right? Great conference, by the way. Thank you. No, we’re not looking at additional costs, right? That was just all messaged last year and we’re just reminding everyone that we completed it. The beauty of this model, Stephanie, is it’s a technology platform, right? We’re not an agency. We don’t generate content. We help our clients get the content that they’ve already generated to the right people at the right time, whether that’s a doctor or a patient. Our additional people this year will be commercially focused, and also, just as a public company, having more the heft as we get over $100 million in revenue, and then as we’ve messaged before, on the reporting side, that’s a key piece now that pharmaceutical companies have adopted point-of-care digitally as a channel, all the standards go up and transparency needs to go with it, as well as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this is a very scalable model. We’ve shown it before in past years even as a smaller company if investors go back and look, and I think we’ll see that as we progress through the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Stephanie Davis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Awesome. I do have to ask because we have seen a public peer go through some issues when delaying their reporting; how should we think about the costs associated with that? Because there usually is a little bit more accounting costs and some management attention, if you will, when that happens.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William J. Febbo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no problem. Yes, we did a lot last year, and again, as I said in my prepared remarks, I’m super proud of the team, because for a small company, it’s no small feat to buy one, out license some tech, and simultaneously see your core starting to grow, which you believe, but when it happens, it happens fast. As we said, all that, coupled with reviewing material weakness that we have a remediation plan for 2024, everything’s just taking longer, so yes, there will be some incremental costs for third-party assistance on the acquisition stuff. A lot of the cost was already rolled in to the acquisition costs, and once we actually file, people will see that, so I wouldn’t anticipate a ton, but there will be some additional.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Stephanie Davis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Awesome. Good to hear. Good luck with the sprint.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William J. Febbo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Talk soon, Stephanie.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(Operator Instructions)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next question is from William Wood with B. Riley Securities. Please proceed with your question.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William Wood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Thanks so much, and congratulations on a nice fourth quarter. Just a couple from us. Was just curious, wanted to dig in a little bit more to the DAAP expectations, the DAAP growth expectations for this year. You obviously noted 24 at the close of next year. How should we be thinking about this growth for this year in terms of the number of deals, as well as maybe potentially commenting on pharma partners that you already have in the queue to sign up for the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William J. Febbo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we don’t want to get—Will, it’s good to hear your voice—we don’t want to get too far ahead, because we’re going to report in basically a month or so on Q1, but very positive momentum. We’ll give an update on the closes we’ve seen in Q1, but we don’t want to get ahead of that. But I think what’s telling and what Steve mentioned is we went from two to six to 24, 100% of which renewed from the two, two went into the six, the six went into the 24, and we’re really seeing cases across multiple therapeutic areas, and also different needs by the client, and I think what’s going to be most encouraging when we talk about it is just seeing how this can now apply to the DTC part of our business, because their method is spectacular around creating micro neighborhoods, but when you can layer in DAAP with the algorithm, the two together, first of all, simplifies life for our clients; we think increases quality of outreach; and will certainly drive better prescription lift, so stay tuned. Can’t give you any hard numbers, but really positive momentum year-over-year, and certainly, what we’re seeing initially.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William Wood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Appreciate it. That’s very helpful. In terms of your Medicx, you mentioned that it was almost complete or near completion. I was just curious when we should be expecting for that to complete. Is it month timeline or is it slightly longer term, and then how should we think about that as adding to the growth and the expectations for 2024 coming?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William J. Febbo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so we’ve got a pretty seasoned team with Ed, Steve, Marion, and myself, and then the whole team below us. A lot of us have done acquisitions. We tend to be pretty conservative on the first year, and I will say the process of integration was really well run. Ed Stelmakh, our CFO, set up a particular office to do that, and all the major stuff is done and now it’s fine tuning, and then it’s just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think the part on the commercial side, which is where the growth can come from, to your question, we did a great training in January of both teams together. I was there as well. The entire senior team was there, and I think that was really brilliant. It just brought together, first of all, people that already work together. They’ve gone through the knife fight of digital spend before it was cool, and then also got their head around what DAAP is, so we’re really excited about that, and in Q1, we can give a little bit more color in terms of DAAP’s contribution to growth, percentage of overall revenue, that kind of thing, but we’ll be there soon enough.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William Wood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Got it. Appreciate that, and one last quick one, could you remind me what Medicx’s gross margins were and/or historically have been and then how you would expect those to integrate into OptimizeRx’s, and how the outlook for the future on how we should expect those to integrate? Thank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William J. Febbo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Sure. Ed, you want to take that 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Edward Stelmakh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Hey, William. Yes, so the margins for Medicx, I think they were disclosed for Q1, Q2, so you can take a look at those filings. As far as full-year margin’s concerned, as we said before, we’re not going to be splitting out their numbers. We’re pretty much now a fully integrated business, so the margins are all baked into our current guidance as one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William Wood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Understood. Thank you for taking our questions.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Edward Stelmakh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no problem.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There are no further questions at this time. I’d like to hand the floor back over to William Febbo for any closing comments.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William J. Febbo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right. Thank you, Operator, and thank you, everyone, for joining us today. I trust you share in our excitement and can perceive the positive momentum we’ve built throughout the second half of 2023 and now into ‘24.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embark on our financial and operational journey for the year ahead, I’m pleased to say that we are stepping into this new chapter on solid ground. Our reach with healthcare professionals and patients has undergone a remarkable expansion thanks to our proprietary AI models. This has allowed us to overcome many of the challenges we faced previously. Today, we proudly offer a comprehensive solution that seamlessly integrates the various elements into the powerful, agile strategies. These strategies address critical challenges such as brand awareness and education, affordability, and the recruitment of hard to find patients. These are the very issues our clients, doctors, and patients encounter daily in today’s healthcare landscape, and we are honored to be part of the solution. Our commitment to generally aiding doctors and patients and aligning on care is what truly drives us as a team.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your time today, and I eagerly anticipate our upcoming discussion on next quarter’s earnings call. Wishing you all a fantastic remainder of the day. Thank you. Operator?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sir.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we conclude today’s call, I would like to provide the Company’s Safe Harbor statement that includes cautions regarding forward-looking statements made during today’s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made by Management during today’s call may contain forward-looking statements within the definition of Section 27A and the Securities Act of 1933, as amended, and Section 21E of the Securities Act of 1934, as amended. These forward-looking statements should not be used to make investment decisions. The words anticipate, estimate, expect, possible, and seeking and similar expressions identify forward-looking statements. They may speak only to the date that such statements are made. Such forward-looking statements in this call include statements regarding estimation of total addressable market size, market penetration, revenue growth, gross margin, operating expenses, profitability, cash flow, technology, investments, growth opportunities, acquisitions, and upcoming announcements. They also include Management’s expectations for the rest of the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these forward-looking statements. The risks and uncertainties to which forward-looking statements are subject to include, but not are not limited to, the effects of government regulation, competition, and other material risks. Risks and uncertainties to which forward-looking statements are subject could affect business and financial results are included in the Company’s Annual Report on Form 10-K for the quarter ended December 31, 2022. This form is available on the Company’s website and on the SEC website at 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we end today’s conference, I would like to remind everyone that this call will be available for replay via webcast only starting later this evening running through for a year and a transcript and a link to an audio recording of this conference call will be provided on the investor section of the Company’s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joining us today. This concludes today’s conference call. You may now disconnect your lines.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right"/>
        <w:rPr>
          <w:rFonts w:ascii="Times New Roman;Times;Serif" w:hAnsi="Times New Roman;Times;Serif"/>
          <w:b/>
          <w:i w:val="false"/>
          <w:caps w:val="false"/>
          <w:smallCaps w:val="false"/>
          <w:sz w:val="20"/>
        </w:rPr>
      </w:pPr>
      <w:bookmarkStart w:id="27" w:name="ea020314101ex99-2_optimize.htm"/>
      <w:bookmarkStart w:id="28" w:name="ksea020314101ex992_optimize"/>
      <w:bookmarkEnd w:id="27"/>
      <w:bookmarkEnd w:id="28"/>
      <w:r>
        <w:rPr>
          <w:rFonts w:ascii="Times New Roman;Times;Serif" w:hAnsi="Times New Roman;Times;Serif"/>
          <w:b/>
          <w:i w:val="false"/>
          <w:caps w:val="false"/>
          <w:smallCaps w:val="false"/>
          <w:sz w:val="20"/>
        </w:rPr>
        <w:t>Exhibit 99.2</w:t>
      </w:r>
      <w:r>
        <w:br w:type="page"/>
      </w:r>
    </w:p>
    <w:p>
      <w:pPr>
        <w:pStyle w:val="TextBody"/>
        <w:bidi w:val="0"/>
        <w:spacing w:before="0" w:after="0"/>
        <w:jc w:val="righ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Reconciliation of Non-GAAP Measures</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and unaudited)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9144000" cy="3905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3905250"/>
                    </a:xfrm>
                    <a:prstGeom prst="rect">
                      <a:avLst/>
                    </a:prstGeom>
                  </pic:spPr>
                </pic:pic>
              </a:graphicData>
            </a:graphic>
          </wp:inline>
        </w:drawing>
      </w:r>
    </w:p>
    <w:p>
      <w:pPr>
        <w:pStyle w:val="TextBody"/>
        <w:bidi w:val="0"/>
        <w:spacing w:before="0" w:after="0"/>
        <w:jc w:val="left"/>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Non-GAAP Measures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unaudited)</w:t>
      </w:r>
    </w:p>
    <w:p>
      <w:pPr>
        <w:pStyle w:val="TextBody"/>
        <w:bidi w:val="0"/>
        <w:spacing w:before="0" w:after="0"/>
        <w:jc w:val="left"/>
        <w:rPr>
          <w:caps w:val="false"/>
          <w:smallCaps w:val="false"/>
        </w:rPr>
      </w:pPr>
      <w:r>
        <w:rPr>
          <w:caps w:val="false"/>
          <w:smallCaps w:val="false"/>
        </w:rPr>
        <w:t> </w:t>
      </w:r>
    </w:p>
    <w:tbl>
      <w:tblPr>
        <w:tblW w:w="7894" w:type="dxa"/>
        <w:jc w:val="left"/>
        <w:tblInd w:w="0" w:type="dxa"/>
        <w:tblLayout w:type="fixed"/>
        <w:tblCellMar>
          <w:top w:w="0" w:type="dxa"/>
          <w:left w:w="0" w:type="dxa"/>
          <w:bottom w:w="0" w:type="dxa"/>
          <w:right w:w="0" w:type="dxa"/>
        </w:tblCellMar>
      </w:tblPr>
      <w:tblGrid>
        <w:gridCol w:w="2885"/>
        <w:gridCol w:w="60"/>
        <w:gridCol w:w="128"/>
        <w:gridCol w:w="847"/>
        <w:gridCol w:w="203"/>
        <w:gridCol w:w="128"/>
        <w:gridCol w:w="128"/>
        <w:gridCol w:w="847"/>
        <w:gridCol w:w="95"/>
        <w:gridCol w:w="60"/>
        <w:gridCol w:w="110"/>
        <w:gridCol w:w="949"/>
        <w:gridCol w:w="175"/>
        <w:gridCol w:w="110"/>
        <w:gridCol w:w="110"/>
        <w:gridCol w:w="949"/>
        <w:gridCol w:w="110"/>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1" w:type="dxa"/>
            <w:gridSpan w:val="6"/>
            <w:tcBorders/>
            <w:vAlign w:val="center"/>
          </w:tcPr>
          <w:p>
            <w:pPr>
              <w:pStyle w:val="TableContents"/>
              <w:bidi w:val="0"/>
              <w:spacing w:before="0" w:after="283"/>
              <w:jc w:val="center"/>
              <w:rPr>
                <w:b/>
              </w:rPr>
            </w:pPr>
            <w:r>
              <w:rPr>
                <w:b/>
              </w:rPr>
              <w:t>For the Three Months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3" w:type="dxa"/>
            <w:gridSpan w:val="6"/>
            <w:tcBorders/>
            <w:vAlign w:val="center"/>
          </w:tcPr>
          <w:p>
            <w:pPr>
              <w:pStyle w:val="TableContents"/>
              <w:bidi w:val="0"/>
              <w:spacing w:before="0" w:after="283"/>
              <w:jc w:val="center"/>
              <w:rPr>
                <w:b/>
              </w:rPr>
            </w:pPr>
            <w:r>
              <w:rPr>
                <w:b/>
              </w:rPr>
              <w:t>For the Twelve Months</w:t>
            </w:r>
          </w:p>
        </w:tc>
        <w:tc>
          <w:tcPr>
            <w:tcW w:w="11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Ended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Ended December 31,</w:t>
            </w:r>
          </w:p>
        </w:tc>
        <w:tc>
          <w:tcPr>
            <w:tcW w:w="110" w:type="dxa"/>
            <w:tcBorders/>
            <w:vAlign w:val="center"/>
          </w:tcPr>
          <w:p>
            <w:pPr>
              <w:pStyle w:val="TableContents"/>
              <w:bidi w:val="0"/>
              <w:spacing w:before="0" w:after="283"/>
              <w:jc w:val="left"/>
              <w:rPr/>
            </w:pPr>
            <w:r>
              <w:rPr/>
              <w:t> </w:t>
            </w:r>
          </w:p>
        </w:tc>
      </w:tr>
      <w:tr>
        <w:trPr/>
        <w:tc>
          <w:tcPr>
            <w:tcW w:w="2885" w:type="dxa"/>
            <w:tcBorders>
              <w:bottom w:val="single" w:sz="12" w:space="0" w:color="000000"/>
            </w:tcBorders>
            <w:tcMar>
              <w:bottom w:w="28" w:type="dxa"/>
            </w:tcMar>
            <w:vAlign w:val="center"/>
          </w:tcPr>
          <w:p>
            <w:pPr>
              <w:pStyle w:val="TableContents"/>
              <w:bidi w:val="0"/>
              <w:spacing w:before="0" w:after="283"/>
              <w:jc w:val="left"/>
              <w:rPr>
                <w:i/>
              </w:rPr>
            </w:pPr>
            <w:r>
              <w:rPr>
                <w:i/>
              </w:rPr>
              <w:t>(in $ millions)</w:t>
            </w:r>
          </w:p>
        </w:tc>
        <w:tc>
          <w:tcPr>
            <w:tcW w:w="60" w:type="dxa"/>
            <w:tcBorders/>
            <w:vAlign w:val="center"/>
          </w:tcPr>
          <w:p>
            <w:pPr>
              <w:pStyle w:val="TableContents"/>
              <w:bidi w:val="0"/>
              <w:spacing w:before="0" w:after="283"/>
              <w:jc w:val="left"/>
              <w:rPr/>
            </w:pPr>
            <w:r>
              <w:rPr/>
              <w:t> </w:t>
            </w:r>
          </w:p>
        </w:tc>
        <w:tc>
          <w:tcPr>
            <w:tcW w:w="9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03"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9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GAAP net income (loss)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(7.2</w:t>
            </w:r>
          </w:p>
        </w:tc>
        <w:tc>
          <w:tcPr>
            <w:tcW w:w="203" w:type="dxa"/>
            <w:tcBorders/>
            <w:shd w:fill="CCEEFF" w:val="clear"/>
            <w:vAlign w:val="center"/>
          </w:tcPr>
          <w:p>
            <w:pPr>
              <w:pStyle w:val="TableContents"/>
              <w:bidi w:val="0"/>
              <w:spacing w:before="0" w:after="283"/>
              <w:jc w:val="left"/>
              <w:rPr/>
            </w:pPr>
            <w:r>
              <w:rPr/>
              <w:t>)</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(20.6</w:t>
            </w:r>
          </w:p>
        </w:tc>
        <w:tc>
          <w:tcPr>
            <w:tcW w:w="175" w:type="dxa"/>
            <w:tcBorders/>
            <w:shd w:fill="CCEEFF" w:val="clear"/>
            <w:vAlign w:val="center"/>
          </w:tcPr>
          <w:p>
            <w:pPr>
              <w:pStyle w:val="TableContents"/>
              <w:bidi w:val="0"/>
              <w:spacing w:before="0" w:after="283"/>
              <w:jc w:val="left"/>
              <w:rPr/>
            </w:pPr>
            <w:r>
              <w:rPr/>
              <w:t>)</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(11.4</w:t>
            </w:r>
          </w:p>
        </w:tc>
        <w:tc>
          <w:tcPr>
            <w:tcW w:w="110"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1.0</w:t>
            </w:r>
          </w:p>
        </w:tc>
        <w:tc>
          <w:tcPr>
            <w:tcW w:w="203"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2.4</w:t>
            </w:r>
          </w:p>
        </w:tc>
        <w:tc>
          <w:tcPr>
            <w:tcW w:w="1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2.0</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2.6</w:t>
            </w:r>
          </w:p>
        </w:tc>
        <w:tc>
          <w:tcPr>
            <w:tcW w:w="203"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13.7</w:t>
            </w:r>
          </w:p>
        </w:tc>
        <w:tc>
          <w:tcPr>
            <w:tcW w:w="175"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15.7</w:t>
            </w:r>
          </w:p>
        </w:tc>
        <w:tc>
          <w:tcPr>
            <w:tcW w:w="11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Asset impairment charges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6.7</w:t>
            </w:r>
          </w:p>
        </w:tc>
        <w:tc>
          <w:tcPr>
            <w:tcW w:w="203"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6.7</w:t>
            </w:r>
          </w:p>
        </w:tc>
        <w:tc>
          <w:tcPr>
            <w:tcW w:w="1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0.0</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Loss on disposal of business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2.1</w:t>
            </w:r>
          </w:p>
        </w:tc>
        <w:tc>
          <w:tcPr>
            <w:tcW w:w="203"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2.1</w:t>
            </w:r>
          </w:p>
        </w:tc>
        <w:tc>
          <w:tcPr>
            <w:tcW w:w="175"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0.0</w:t>
            </w:r>
          </w:p>
        </w:tc>
        <w:tc>
          <w:tcPr>
            <w:tcW w:w="11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Severance charges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0.3</w:t>
            </w:r>
          </w:p>
        </w:tc>
        <w:tc>
          <w:tcPr>
            <w:tcW w:w="203"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0.5</w:t>
            </w:r>
          </w:p>
        </w:tc>
        <w:tc>
          <w:tcPr>
            <w:tcW w:w="1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0.0</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Acquisition expense</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3.9</w:t>
            </w:r>
          </w:p>
        </w:tc>
        <w:tc>
          <w:tcPr>
            <w:tcW w:w="203"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4.5</w:t>
            </w:r>
          </w:p>
        </w:tc>
        <w:tc>
          <w:tcPr>
            <w:tcW w:w="175"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0.0</w:t>
            </w:r>
          </w:p>
        </w:tc>
        <w:tc>
          <w:tcPr>
            <w:tcW w:w="11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Other (income) loss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(0.5</w:t>
            </w:r>
          </w:p>
        </w:tc>
        <w:tc>
          <w:tcPr>
            <w:tcW w:w="203" w:type="dxa"/>
            <w:tcBorders/>
            <w:shd w:fill="FFFFFF" w:val="clear"/>
            <w:vAlign w:val="center"/>
          </w:tcPr>
          <w:p>
            <w:pPr>
              <w:pStyle w:val="TableContents"/>
              <w:bidi w:val="0"/>
              <w:spacing w:before="0" w:after="283"/>
              <w:jc w:val="left"/>
              <w:rPr/>
            </w:pPr>
            <w:r>
              <w:rPr/>
              <w:t>)</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(0.5</w:t>
            </w:r>
          </w:p>
        </w:tc>
        <w:tc>
          <w:tcPr>
            <w:tcW w:w="175" w:type="dxa"/>
            <w:tcBorders/>
            <w:shd w:fill="FFFFFF" w:val="clear"/>
            <w:vAlign w:val="center"/>
          </w:tcPr>
          <w:p>
            <w:pPr>
              <w:pStyle w:val="TableContents"/>
              <w:bidi w:val="0"/>
              <w:spacing w:before="0" w:after="283"/>
              <w:jc w:val="left"/>
              <w:rPr/>
            </w:pPr>
            <w:r>
              <w:rPr/>
              <w:t>)</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0.0</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Net interest (income) expense</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1.3</w:t>
            </w:r>
          </w:p>
        </w:tc>
        <w:tc>
          <w:tcPr>
            <w:tcW w:w="203"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(0.7</w:t>
            </w:r>
          </w:p>
        </w:tc>
        <w:tc>
          <w:tcPr>
            <w:tcW w:w="175" w:type="dxa"/>
            <w:tcBorders/>
            <w:shd w:fill="CCEEFF" w:val="clear"/>
            <w:vAlign w:val="center"/>
          </w:tcPr>
          <w:p>
            <w:pPr>
              <w:pStyle w:val="TableContents"/>
              <w:bidi w:val="0"/>
              <w:spacing w:before="0" w:after="283"/>
              <w:jc w:val="left"/>
              <w:rPr/>
            </w:pPr>
            <w:r>
              <w:rPr/>
              <w:t>)</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(0.9</w:t>
            </w:r>
          </w:p>
        </w:tc>
        <w:tc>
          <w:tcPr>
            <w:tcW w:w="110"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pPr>
            <w:r>
              <w:rPr/>
              <w:t>Income tax benefit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47" w:type="dxa"/>
            <w:tcBorders>
              <w:bottom w:val="single" w:sz="12" w:space="0" w:color="000000"/>
            </w:tcBorders>
            <w:shd w:fill="FFFFFF" w:val="clear"/>
            <w:tcMar>
              <w:bottom w:w="28" w:type="dxa"/>
            </w:tcMar>
            <w:vAlign w:val="center"/>
          </w:tcPr>
          <w:p>
            <w:pPr>
              <w:pStyle w:val="TableContents"/>
              <w:bidi w:val="0"/>
              <w:spacing w:before="0" w:after="283"/>
              <w:jc w:val="right"/>
              <w:rPr/>
            </w:pPr>
            <w:r>
              <w:rPr/>
              <w:t>(4.6</w:t>
            </w:r>
          </w:p>
        </w:tc>
        <w:tc>
          <w:tcPr>
            <w:tcW w:w="203" w:type="dxa"/>
            <w:tcBorders/>
            <w:shd w:fill="FFFFFF" w:val="clear"/>
            <w:vAlign w:val="center"/>
          </w:tcPr>
          <w:p>
            <w:pPr>
              <w:pStyle w:val="TableContents"/>
              <w:bidi w:val="0"/>
              <w:spacing w:before="0" w:after="283"/>
              <w:jc w:val="left"/>
              <w:rPr/>
            </w:pPr>
            <w:r>
              <w:rPr/>
              <w:t>)</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47" w:type="dxa"/>
            <w:tcBorders>
              <w:bottom w:val="single" w:sz="12" w:space="0" w:color="000000"/>
            </w:tcBorders>
            <w:shd w:fill="FFFFFF" w:val="clear"/>
            <w:tcMar>
              <w:bottom w:w="28" w:type="dxa"/>
            </w:tcMar>
            <w:vAlign w:val="center"/>
          </w:tcPr>
          <w:p>
            <w:pPr>
              <w:pStyle w:val="TableContents"/>
              <w:bidi w:val="0"/>
              <w:spacing w:before="0" w:after="283"/>
              <w:jc w:val="right"/>
              <w:rPr/>
            </w:pPr>
            <w:r>
              <w:rPr/>
              <w:t>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49" w:type="dxa"/>
            <w:tcBorders>
              <w:bottom w:val="single" w:sz="12" w:space="0" w:color="000000"/>
            </w:tcBorders>
            <w:shd w:fill="FFFFFF" w:val="clear"/>
            <w:tcMar>
              <w:bottom w:w="28" w:type="dxa"/>
            </w:tcMar>
            <w:vAlign w:val="center"/>
          </w:tcPr>
          <w:p>
            <w:pPr>
              <w:pStyle w:val="TableContents"/>
              <w:bidi w:val="0"/>
              <w:spacing w:before="0" w:after="283"/>
              <w:jc w:val="right"/>
              <w:rPr/>
            </w:pPr>
            <w:r>
              <w:rPr/>
              <w:t>(4.6</w:t>
            </w:r>
          </w:p>
        </w:tc>
        <w:tc>
          <w:tcPr>
            <w:tcW w:w="175" w:type="dxa"/>
            <w:tcBorders/>
            <w:shd w:fill="FFFFFF" w:val="clear"/>
            <w:vAlign w:val="center"/>
          </w:tcPr>
          <w:p>
            <w:pPr>
              <w:pStyle w:val="TableContents"/>
              <w:bidi w:val="0"/>
              <w:spacing w:before="0" w:after="283"/>
              <w:jc w:val="left"/>
              <w:rPr/>
            </w:pPr>
            <w:r>
              <w:rPr/>
              <w:t>)</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49" w:type="dxa"/>
            <w:tcBorders>
              <w:bottom w:val="single" w:sz="12" w:space="0" w:color="000000"/>
            </w:tcBorders>
            <w:shd w:fill="FFFFFF" w:val="clear"/>
            <w:tcMar>
              <w:bottom w:w="28" w:type="dxa"/>
            </w:tcMar>
            <w:vAlign w:val="center"/>
          </w:tcPr>
          <w:p>
            <w:pPr>
              <w:pStyle w:val="TableContents"/>
              <w:bidi w:val="0"/>
              <w:spacing w:before="0" w:after="283"/>
              <w:jc w:val="right"/>
              <w:rPr/>
            </w:pPr>
            <w:r>
              <w:rPr/>
              <w:t>0.0</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b/>
              </w:rPr>
            </w:pPr>
            <w:r>
              <w:rPr>
                <w:b/>
              </w:rPr>
              <w:t>Adjusted EBITDA</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b/>
              </w:rPr>
            </w:pPr>
            <w:r>
              <w:rPr>
                <w:b/>
              </w:rPr>
              <w:t>5.8</w:t>
            </w:r>
          </w:p>
        </w:tc>
        <w:tc>
          <w:tcPr>
            <w:tcW w:w="203"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b/>
              </w:rPr>
            </w:pPr>
            <w:r>
              <w:rPr>
                <w:b/>
              </w:rPr>
              <w:t>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b/>
              </w:rPr>
            </w:pPr>
            <w:r>
              <w:rPr>
                <w:b/>
              </w:rPr>
              <w:t>3.6</w:t>
            </w:r>
          </w:p>
        </w:tc>
        <w:tc>
          <w:tcPr>
            <w:tcW w:w="175"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b/>
              </w:rPr>
            </w:pPr>
            <w:r>
              <w:rPr>
                <w:b/>
              </w:rPr>
              <w:t>5.5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P T I M I Z E </w:t>
      </w:r>
      <w:r>
        <w:rPr>
          <w:rFonts w:ascii="Times New Roman;Times;Serif" w:hAnsi="Times New Roman;Times;Serif"/>
          <w:b/>
          <w:i w:val="false"/>
          <w:caps w:val="false"/>
          <w:smallCaps w:val="false"/>
          <w:sz w:val="20"/>
        </w:rPr>
        <w:t>R X</w:t>
      </w:r>
      <w:r>
        <w:rPr>
          <w:rFonts w:ascii="Times New Roman;Times;Serif" w:hAnsi="Times New Roman;Times;Serif"/>
          <w:b w:val="false"/>
          <w:i w:val="false"/>
          <w:caps w:val="false"/>
          <w:smallCaps w:val="false"/>
          <w:sz w:val="20"/>
        </w:rPr>
        <w:t xml:space="preserve"> </w:t>
      </w:r>
    </w:p>
    <w:p>
      <w:pPr>
        <w:pStyle w:val="TextBody"/>
        <w:bidi w:val="0"/>
        <w:spacing w:before="0" w:after="0"/>
        <w:jc w:val="righ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Appendix</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presentation includes Adjusted EBITDA, a non-GAAP financial measure. The Company defines Adjusted EBITDA as GAAP net income (loss) with an adjustment to add back depreciation, amortization, interest, stock-based compensation, acquisition expenses, severance expense related to a reduction in force, income or loss related to the fair value of contingent consideration, gain or loss from the disposal of a business, asset impairment charges, other income (loss), and deferred income taxes. The Company’s Adjusted EBITDA may not provide information that is directly comparable to that provided by other companies in the Company’s industry, as other companies in the industry may calculate Adjusted EBITDA differently. The Company’s Adjusted EBITDA is not a measurement of financial performance under GAAP and should not be considered as an alternative to net income (loss) or as an indication of operating performance or any other measure of performance derived in accordance with GAAP. The Company does not consider this non-GAAP measure to be a substitute for or superior to the information provided by its GAAP financial results.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“Reconciliation of Non-GAAP Measures,” included above, provides a reconciliation of estimated GAAP net income (loss) and Adjusted EBITDA for the three and twelve months ended December 31, 2023 and 2022. The 2023 GAAP numbers included in the above table are preliminary and unaudited and are subject to completion of the Company’s financial closing procedures. The Company’s independent registered public accounting firm has not conducted an audit or review of and does not express an opinion or any other form of assurance with respect to, the preliminary unaudited results. It is possible that the Company or its independent registered public accounting firm may identify items that require the Company to make adjustments to the preliminary estimates of GAAP net income (loss) set forth herein and those changes could be material.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provides 2024 guidance for Adjusted EBITDA, it is not able to provide guidance to the most directly comparable GAAP measure. Reconciliations for forward-looking figures would require unreasonable efforts at this time because of the uncertainty and variability of the nature and amount of certain components of various necessary GAAP components, including, for example, those related to compensation, acquisition expenses, amortization or others that may arise during the year, and the Company’s management believes such reconciliations would imply a degree of precision that would be confusing or misleading to investors. For the same reasons, the Company is unable to address the probable significance of the unavailable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TextBody"/>
        <w:bidi w:val="0"/>
        <w:spacing w:before="0" w:after="283"/>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8963</Words>
  <Characters>46845</Characters>
  <CharactersWithSpaces>55998</CharactersWithSpaces>
  <Paragraphs>1015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