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1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5328285</wp:posOffset>
            </wp:positionH>
            <wp:positionV relativeFrom="paragraph">
              <wp:posOffset>-609600</wp:posOffset>
            </wp:positionV>
            <wp:extent cx="8255" cy="6102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0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4017645</wp:posOffset>
            </wp:positionH>
            <wp:positionV relativeFrom="paragraph">
              <wp:posOffset>-617855</wp:posOffset>
            </wp:positionV>
            <wp:extent cx="8255" cy="6184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8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4042410</wp:posOffset>
            </wp:positionH>
            <wp:positionV relativeFrom="paragraph">
              <wp:posOffset>-593090</wp:posOffset>
            </wp:positionV>
            <wp:extent cx="1270000" cy="5689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0" cy="568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-1597025</wp:posOffset>
            </wp:positionH>
            <wp:positionV relativeFrom="paragraph">
              <wp:posOffset>36830</wp:posOffset>
            </wp:positionV>
            <wp:extent cx="6967220" cy="16243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6243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BAKER DOUGLAS P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400 WATER STREET,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OptimizeRx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OPRX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01/29/2021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00" w:firstLine="3"/>
        <w:spacing w:after="0" w:line="260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ind w:left="197"/>
        <w:spacing w:after="0"/>
        <w:tabs>
          <w:tab w:leader="none" w:pos="497" w:val="left"/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0000FF"/>
          <w:vertAlign w:val="subscript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9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FINANCIAL OFFICER</w:t>
      </w:r>
    </w:p>
    <w:p>
      <w:pPr>
        <w:spacing w:after="0" w:line="3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3" w:space="720"/>
            <w:col w:w="3337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15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ROCHESTER</w:t>
            </w:r>
          </w:p>
        </w:tc>
        <w:tc>
          <w:tcPr>
            <w:tcW w:w="9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48307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-2486025</wp:posOffset>
            </wp:positionH>
            <wp:positionV relativeFrom="paragraph">
              <wp:posOffset>153035</wp:posOffset>
            </wp:positionV>
            <wp:extent cx="6967220" cy="13112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311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7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01/29/2021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S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5,032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47.25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85,902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01/29/2021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4,315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7.51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90,217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7.51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01/29/2021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4,315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03/31/2020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03/11/2025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4,315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7.51</w:t>
            </w:r>
          </w:p>
        </w:tc>
        <w:tc>
          <w:tcPr>
            <w:tcW w:w="6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107,134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-2002155</wp:posOffset>
            </wp:positionV>
            <wp:extent cx="7033260" cy="201168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260" cy="2011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These shares sold pursuant to a plan of disposition adopted on September 22, 2020 in accordance with Rule 10b5-1 of the Securities Exchange Act of 1934, as amended. This sale completes the plan.</w:t>
      </w:r>
    </w:p>
    <w:p>
      <w:pPr>
        <w:spacing w:after="0" w:line="57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Doug Baker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01/29/2021</w:t>
            </w:r>
          </w:p>
        </w:tc>
      </w:tr>
      <w:tr>
        <w:trPr>
          <w:trHeight w:val="20"/>
        </w:trPr>
        <w:tc>
          <w:tcPr>
            <w:tcW w:w="10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028775" TargetMode="External"/><Relationship Id="rId14" Type="http://schemas.openxmlformats.org/officeDocument/2006/relationships/hyperlink" Target="http://www.sec.gov/cgi-bin/browse-edgar?action=getcompany&amp;CIK=000144843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2021-01-29T15:52:35Z</dcterms:created>
  <dcterms:modified xsi:type="dcterms:W3CDTF">2021-01-29T15:52:35Z</dcterms:modified>
</cp:coreProperties>
</file>