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16,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jc w:val="center"/>
              <w:ind w:right="700"/>
              <w:spacing w:after="0"/>
              <w:rPr>
                <w:sz w:val="20"/>
                <w:szCs w:val="20"/>
                <w:color w:val="auto"/>
              </w:rPr>
            </w:pPr>
            <w:r>
              <w:rPr>
                <w:rFonts w:ascii="Arial" w:cs="Arial" w:eastAsia="Arial" w:hAnsi="Arial"/>
                <w:sz w:val="18"/>
                <w:szCs w:val="18"/>
                <w:color w:val="auto"/>
                <w:w w:val="90"/>
              </w:rPr>
              <w:t>Nevada</w:t>
            </w:r>
          </w:p>
        </w:tc>
        <w:tc>
          <w:tcPr>
            <w:tcW w:w="2900" w:type="dxa"/>
            <w:vAlign w:val="bottom"/>
            <w:gridSpan w:val="3"/>
          </w:tcPr>
          <w:p>
            <w:pPr>
              <w:jc w:val="right"/>
              <w:ind w:right="1360"/>
              <w:spacing w:after="0"/>
              <w:rPr>
                <w:sz w:val="20"/>
                <w:szCs w:val="20"/>
                <w:color w:val="auto"/>
              </w:rPr>
            </w:pPr>
            <w:r>
              <w:rPr>
                <w:rFonts w:ascii="Arial" w:cs="Arial" w:eastAsia="Arial" w:hAnsi="Arial"/>
                <w:sz w:val="18"/>
                <w:szCs w:val="18"/>
                <w:color w:val="auto"/>
              </w:rPr>
              <w:t>001-38543</w:t>
            </w:r>
          </w:p>
        </w:tc>
        <w:tc>
          <w:tcPr>
            <w:tcW w:w="100" w:type="dxa"/>
            <w:vAlign w:val="bottom"/>
          </w:tcPr>
          <w:p>
            <w:pPr>
              <w:spacing w:after="0"/>
              <w:rPr>
                <w:sz w:val="20"/>
                <w:szCs w:val="20"/>
                <w:color w:val="auto"/>
              </w:rPr>
            </w:pPr>
          </w:p>
        </w:tc>
        <w:tc>
          <w:tcPr>
            <w:tcW w:w="3700" w:type="dxa"/>
            <w:vAlign w:val="bottom"/>
          </w:tcPr>
          <w:p>
            <w:pPr>
              <w:jc w:val="right"/>
              <w:ind w:right="1330"/>
              <w:spacing w:after="0"/>
              <w:rPr>
                <w:sz w:val="20"/>
                <w:szCs w:val="20"/>
                <w:color w:val="auto"/>
              </w:rPr>
            </w:pPr>
            <w:r>
              <w:rPr>
                <w:rFonts w:ascii="Arial" w:cs="Arial" w:eastAsia="Arial" w:hAnsi="Arial"/>
                <w:sz w:val="18"/>
                <w:szCs w:val="18"/>
                <w:color w:val="auto"/>
              </w:rPr>
              <w:t>26-1265381</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gridSpan w:val="3"/>
          </w:tcPr>
          <w:p>
            <w:pPr>
              <w:jc w:val="center"/>
              <w:ind w:right="600"/>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9"/>
                <w:szCs w:val="19"/>
                <w:color w:val="auto"/>
              </w:rPr>
            </w:pPr>
          </w:p>
        </w:tc>
        <w:tc>
          <w:tcPr>
            <w:tcW w:w="37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(I.R.S. Employer Identification No.)</w:t>
            </w:r>
          </w:p>
        </w:tc>
      </w:tr>
      <w:tr>
        <w:trPr>
          <w:trHeight w:val="418"/>
        </w:trPr>
        <w:tc>
          <w:tcPr>
            <w:tcW w:w="454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color w:val="auto"/>
                <w:w w:val="89"/>
              </w:rPr>
              <w:t>400 Water Street, Suite 200, Rochester, MI</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24"/>
        </w:trPr>
        <w:tc>
          <w:tcPr>
            <w:tcW w:w="4540" w:type="dxa"/>
            <w:vAlign w:val="bottom"/>
            <w:gridSpan w:val="3"/>
          </w:tcPr>
          <w:p>
            <w:pPr>
              <w:jc w:val="center"/>
              <w:ind w:left="103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ind w:left="56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0"/>
        </w:trPr>
        <w:tc>
          <w:tcPr>
            <w:tcW w:w="33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260" w:type="dxa"/>
            <w:vAlign w:val="bottom"/>
            <w:tcBorders>
              <w:bottom w:val="single" w:sz="8" w:color="auto"/>
            </w:tcBorders>
          </w:tcPr>
          <w:p>
            <w:pPr>
              <w:spacing w:after="0"/>
              <w:rPr>
                <w:sz w:val="23"/>
                <w:szCs w:val="23"/>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23"/>
        </w:trPr>
        <w:tc>
          <w:tcPr>
            <w:tcW w:w="3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On March 16, 2021, we issued a press release announcing that we have secured 19 new enterprise-level deals for 2021 that provide access to our full suite of solutions and nationwide digital healthcare platform. A copy of the press release is attached as Exhibit 99.1 to this Current Report on Form 8-K.</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16,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320040</wp:posOffset>
            </wp:positionV>
            <wp:extent cx="3171825"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7182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Recurring Revenue Grows as it Secures 19 New Enterprise-Level Engagements in Q1 2021</w:t>
      </w:r>
    </w:p>
    <w:p>
      <w:pPr>
        <w:spacing w:after="0" w:line="26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ROCHESTER, Mich. – March 16, 2021 </w:t>
      </w:r>
      <w:r>
        <w:rPr>
          <w:rFonts w:ascii="Arial" w:cs="Arial" w:eastAsia="Arial" w:hAnsi="Arial"/>
          <w:sz w:val="18"/>
          <w:szCs w:val="18"/>
          <w:color w:val="auto"/>
        </w:rPr>
        <w:t>– 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physicians and patients, has secured 19 new enterprise-level deals for 2021 that provide access to the company’s full suite of solutions and nationwide digital healthcare platform.</w:t>
      </w:r>
    </w:p>
    <w:p>
      <w:pPr>
        <w:spacing w:after="0" w:line="20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Of the 46 deals in pipeline shared during the fourth quarter of 2020 earnings call, the company has closed 19 deals. This conversion success rate is in addition to a higher-than-average renewal rate of existing engagements over the same period. In 2021, the company expects to exceed the 86% renewal rate it experienced last year.</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“These many new wins further demonstrate the exceptional capabilities and reach of our solutions, and especially how they deliver exceptional value to our clients,” stated Steve Silvestro, OptimizeRx’s chief commercial officer. “In a year with so much disruption, especially for new drug launches, our enterprise engagements have produced strong results for our clients, helping them to reach more physicians and ultimately deliver greater support to more patients.”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2020, McKinsey published an analysis of 86 recent drug launches and the associated impact of COVID-19 on the pharmaceutical commercial model. The analysis identified several imperatives for creating the conditions for a successful drug launch in what McKinsey refers to as the “</w:t>
      </w:r>
      <w:r>
        <w:rPr>
          <w:rFonts w:ascii="Arial" w:cs="Arial" w:eastAsia="Arial" w:hAnsi="Arial"/>
          <w:sz w:val="18"/>
          <w:szCs w:val="18"/>
          <w:i w:val="1"/>
          <w:iCs w:val="1"/>
          <w:color w:val="auto"/>
        </w:rPr>
        <w:t>next normal</w:t>
      </w:r>
      <w:r>
        <w:rPr>
          <w:rFonts w:ascii="Arial" w:cs="Arial" w:eastAsia="Arial" w:hAnsi="Arial"/>
          <w:sz w:val="18"/>
          <w:szCs w:val="18"/>
          <w:color w:val="auto"/>
        </w:rPr>
        <w:t>.” Under this shifting commercial model, the ability to rapidly deliver personalized content, analytics and engagement through innovative patient channels now takes center stage as a critical factor for successful drug launches.</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elements driving the shift in commercial models are expected to persist beyond the pandemic, creating a sustained increase in demand for digital enablement tools that can swiftly respond to real-world events through advanced analytic methods. A recent MM+M/Healthlink Dimensions survey of healthcare marketers revealed a 29.5% budget increase for digital sales rep engagement in 2020. Further, while traditional engagement methods declined in popularity, remote sales rep engagement increased to 66.7%.</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engagement with pharma clients has evolved to focus on key elements of their commercialization process that over the past year has had to adapt to the next normal,” continued Silvestro. “By using OptimizeRx’s proprietary platform, our clients have been able to reach more HCPs in a much shorter period, providing them with the necessary information and tools to help treat their patients. These closed loop execution efforts have a clear and demonstrated return on investment.”</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William Febbo, chief executive officer of OptimizeRx, commented: “We are encouraged by the continued conversion of our pipeline into enterprise-level deals and the resulting buildup in our recurring revenue. As these more expansive enterprise deployments better address the need for greater digital connectivity for our clients, they also provide OptimizeRx with a more consistent revenue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ind w:right="220"/>
        <w:spacing w:after="0" w:line="286" w:lineRule="auto"/>
        <w:rPr>
          <w:sz w:val="20"/>
          <w:szCs w:val="20"/>
          <w:color w:val="auto"/>
        </w:rPr>
      </w:pPr>
      <w:r>
        <w:rPr>
          <w:rFonts w:ascii="Arial" w:cs="Arial" w:eastAsia="Arial" w:hAnsi="Arial"/>
          <w:sz w:val="17"/>
          <w:szCs w:val="17"/>
          <w:color w:val="auto"/>
        </w:rPr>
        <w:t>“We expect the first half of the year to continue to show strong growth, and this has historically positioned the company for an even better second half,” added Febbo. “The platform we have built over the years continues to bring us closer to our clients, especially with the unprecedented shift in budgets to digital. We plan to continue scaling and leveraging the strength of our platform to address the sizable market opportunities ahead.”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28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2021-03-16T15:52:24Z</dcterms:created>
  <dcterms:modified xsi:type="dcterms:W3CDTF">2021-03-16T15:52:24Z</dcterms:modified>
</cp:coreProperties>
</file>