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495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495290"/>
                    </a:xfrm>
                    <a:prstGeom prst="rect">
                      <a:avLst/>
                    </a:prstGeom>
                    <a:noFill/>
                  </pic:spPr>
                </pic:pic>
              </a:graphicData>
            </a:graphic>
          </wp:anchor>
        </w:drawing>
      </w:r>
    </w:p>
    <w:p>
      <w:pPr>
        <w:sectPr>
          <w:pgSz w:w="11900" w:h="16838" w:orient="portrait"/>
          <w:cols w:equalWidth="0" w:num="1">
            <w:col w:w="10940"/>
          </w:cols>
          <w:pgMar w:left="480" w:top="230" w:right="479" w:bottom="85"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Merrell Brendan W.</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920" w:type="dxa"/>
            <w:vAlign w:val="bottom"/>
            <w:tcBorders>
              <w:top w:val="single" w:sz="8" w:color="0000EE"/>
              <w:bottom w:val="single" w:sz="8" w:color="9A9A9A"/>
            </w:tcBorders>
          </w:tcPr>
          <w:p>
            <w:pPr>
              <w:spacing w:after="0"/>
              <w:rPr>
                <w:sz w:val="17"/>
                <w:szCs w:val="17"/>
                <w:color w:val="auto"/>
              </w:rPr>
            </w:pPr>
          </w:p>
        </w:tc>
        <w:tc>
          <w:tcPr>
            <w:tcW w:w="11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08/21/2025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OptimizeRx Corp</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OPRX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85"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980" w:type="dxa"/>
            <w:vAlign w:val="bottom"/>
          </w:tcPr>
          <w:p>
            <w:pPr>
              <w:ind w:left="28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w w:val="99"/>
              </w:rPr>
              <w:t>C/O OPTIMIZERX CORPORATION</w:t>
            </w: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w w:val="99"/>
              </w:rPr>
              <w:t>260 CHARLES STREET, SUITE 302</w:t>
            </w:r>
          </w:p>
        </w:tc>
      </w:tr>
      <w:tr>
        <w:trPr>
          <w:trHeight w:val="177"/>
        </w:trPr>
        <w:tc>
          <w:tcPr>
            <w:tcW w:w="78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9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5"/>
        </w:trPr>
        <w:tc>
          <w:tcPr>
            <w:tcW w:w="17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WALTHAM MA</w:t>
            </w:r>
          </w:p>
        </w:tc>
        <w:tc>
          <w:tcPr>
            <w:tcW w:w="1340" w:type="dxa"/>
            <w:vAlign w:val="bottom"/>
          </w:tcPr>
          <w:p>
            <w:pPr>
              <w:ind w:left="340"/>
              <w:spacing w:after="0"/>
              <w:rPr>
                <w:sz w:val="20"/>
                <w:szCs w:val="20"/>
                <w:color w:val="auto"/>
              </w:rPr>
            </w:pPr>
            <w:r>
              <w:rPr>
                <w:rFonts w:ascii="Times New Roman" w:cs="Times New Roman" w:eastAsia="Times New Roman" w:hAnsi="Times New Roman"/>
                <w:sz w:val="20"/>
                <w:szCs w:val="20"/>
                <w:color w:val="0000FF"/>
              </w:rPr>
              <w:t>02453</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283"/>
        <w:spacing w:after="0"/>
        <w:rPr>
          <w:sz w:val="20"/>
          <w:szCs w:val="20"/>
          <w:color w:val="auto"/>
        </w:rPr>
      </w:pPr>
      <w:r>
        <w:rPr>
          <w:rFonts w:ascii="Times New Roman" w:cs="Times New Roman" w:eastAsia="Times New Roman" w:hAnsi="Times New Roman"/>
          <w:sz w:val="20"/>
          <w:szCs w:val="20"/>
          <w:color w:val="0000FF"/>
        </w:rPr>
        <w:t>CHIEF OPERATING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85"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1"/>
              </w:rPr>
              <w:t>17,274</w:t>
            </w:r>
            <w:r>
              <w:rPr>
                <w:rFonts w:ascii="Times New Roman" w:cs="Times New Roman" w:eastAsia="Times New Roman" w:hAnsi="Times New Roman"/>
                <w:sz w:val="25"/>
                <w:szCs w:val="25"/>
                <w:color w:val="008000"/>
                <w:w w:val="91"/>
                <w:vertAlign w:val="superscript"/>
              </w:rPr>
              <w:t>(1)</w:t>
            </w:r>
          </w:p>
        </w:tc>
        <w:tc>
          <w:tcPr>
            <w:tcW w:w="88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20"/>
                <w:szCs w:val="20"/>
                <w:color w:val="0000FF"/>
                <w:w w:val="96"/>
              </w:rPr>
              <w:t>D</w:t>
            </w:r>
          </w:p>
        </w:tc>
        <w:tc>
          <w:tcPr>
            <w:tcW w:w="9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6"/>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10/03/2027</w:t>
            </w:r>
          </w:p>
        </w:tc>
        <w:tc>
          <w:tcPr>
            <w:tcW w:w="1740" w:type="dxa"/>
            <w:vAlign w:val="bottom"/>
          </w:tcPr>
          <w:p>
            <w:pPr>
              <w:jc w:val="center"/>
              <w:ind w:left="32"/>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Pr>
          <w:p>
            <w:pPr>
              <w:jc w:val="center"/>
              <w:ind w:left="34"/>
              <w:spacing w:after="0"/>
              <w:rPr>
                <w:sz w:val="20"/>
                <w:szCs w:val="20"/>
                <w:color w:val="auto"/>
              </w:rPr>
            </w:pPr>
            <w:r>
              <w:rPr>
                <w:rFonts w:ascii="Times New Roman" w:cs="Times New Roman" w:eastAsia="Times New Roman" w:hAnsi="Times New Roman"/>
                <w:sz w:val="20"/>
                <w:szCs w:val="20"/>
                <w:color w:val="0000FF"/>
                <w:w w:val="97"/>
              </w:rPr>
              <w:t>9,764</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15.04</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12/19/2028</w:t>
            </w:r>
          </w:p>
        </w:tc>
        <w:tc>
          <w:tcPr>
            <w:tcW w:w="1740" w:type="dxa"/>
            <w:vAlign w:val="bottom"/>
          </w:tcPr>
          <w:p>
            <w:pPr>
              <w:jc w:val="center"/>
              <w:ind w:left="32"/>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Pr>
          <w:p>
            <w:pPr>
              <w:jc w:val="center"/>
              <w:ind w:left="34"/>
              <w:spacing w:after="0"/>
              <w:rPr>
                <w:sz w:val="20"/>
                <w:szCs w:val="20"/>
                <w:color w:val="auto"/>
              </w:rPr>
            </w:pPr>
            <w:r>
              <w:rPr>
                <w:rFonts w:ascii="Times New Roman" w:cs="Times New Roman" w:eastAsia="Times New Roman" w:hAnsi="Times New Roman"/>
                <w:sz w:val="20"/>
                <w:szCs w:val="20"/>
                <w:color w:val="0000FF"/>
                <w:w w:val="97"/>
              </w:rPr>
              <w:t>2,946</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12.73</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(4)</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6"/>
              </w:rPr>
              <w:t>12/11/2029</w:t>
            </w:r>
          </w:p>
        </w:tc>
        <w:tc>
          <w:tcPr>
            <w:tcW w:w="1740" w:type="dxa"/>
            <w:vAlign w:val="bottom"/>
          </w:tcPr>
          <w:p>
            <w:pPr>
              <w:jc w:val="center"/>
              <w:ind w:left="32"/>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Pr>
          <w:p>
            <w:pPr>
              <w:jc w:val="center"/>
              <w:ind w:left="14"/>
              <w:spacing w:after="0"/>
              <w:rPr>
                <w:sz w:val="20"/>
                <w:szCs w:val="20"/>
                <w:color w:val="auto"/>
              </w:rPr>
            </w:pPr>
            <w:r>
              <w:rPr>
                <w:rFonts w:ascii="Times New Roman" w:cs="Times New Roman" w:eastAsia="Times New Roman" w:hAnsi="Times New Roman"/>
                <w:sz w:val="20"/>
                <w:szCs w:val="20"/>
                <w:color w:val="0000FF"/>
                <w:w w:val="98"/>
              </w:rPr>
              <w:t>13,723</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4.94</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(5)</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08/21/2030</w:t>
            </w:r>
          </w:p>
        </w:tc>
        <w:tc>
          <w:tcPr>
            <w:tcW w:w="1740" w:type="dxa"/>
            <w:vAlign w:val="bottom"/>
          </w:tcPr>
          <w:p>
            <w:pPr>
              <w:jc w:val="center"/>
              <w:ind w:left="32"/>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Pr>
          <w:p>
            <w:pPr>
              <w:jc w:val="center"/>
              <w:ind w:left="14"/>
              <w:spacing w:after="0"/>
              <w:rPr>
                <w:sz w:val="20"/>
                <w:szCs w:val="20"/>
                <w:color w:val="auto"/>
              </w:rPr>
            </w:pPr>
            <w:r>
              <w:rPr>
                <w:rFonts w:ascii="Times New Roman" w:cs="Times New Roman" w:eastAsia="Times New Roman" w:hAnsi="Times New Roman"/>
                <w:sz w:val="20"/>
                <w:szCs w:val="20"/>
                <w:color w:val="0000FF"/>
                <w:w w:val="98"/>
              </w:rPr>
              <w:t>23,437</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16.14</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right="160" w:firstLine="5"/>
        <w:spacing w:after="0" w:line="23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Includes 10,900 shares of common stock underlying unvested restricted stock units ("RSUs") granted under OPRX's equity incentive plans. Each RSU represents the contingent right to receive, upon vesting of the RSU, one share of OPRX common stock. The RSUs vest as follows: (i) 1,663 RSUs which represent the 3rd installment of Mr. Merell's October 3, 2022 grant; (ii) 1,964 RSUs which represent the 2nd and 3rd installments of Mr. Merrell's December 19, 2023 grant; and (iii) 7,273 RSUs which will vest in 3 equal annual installments beginning on December 11, 2025, which is the 1st anniversary of the grant date.</w:t>
      </w:r>
    </w:p>
    <w:p>
      <w:pPr>
        <w:spacing w:after="0" w:line="33"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stock option vests in three equal annual installments beginning October 3, 2023, the first anniversary of the grant date.</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stock option vests in three equal annual installments beginning December 19, 2024, the first anniversary of the grant date.</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stock option vests in three equal annual installments beginning December 11, 2025, the first anniversary of the grant date.</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stock option vests in three equal annual installments beginning August 21, 2026, the first anniversary of the grant date.</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right="80"/>
        <w:spacing w:after="0" w:line="259" w:lineRule="auto"/>
        <w:rPr>
          <w:sz w:val="20"/>
          <w:szCs w:val="20"/>
          <w:color w:val="auto"/>
        </w:rPr>
      </w:pPr>
      <w:r>
        <w:rPr>
          <w:rFonts w:ascii="Times New Roman" w:cs="Times New Roman" w:eastAsia="Times New Roman" w:hAnsi="Times New Roman"/>
          <w:sz w:val="15"/>
          <w:szCs w:val="15"/>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Marion Odence-Ford,</w:t>
            </w:r>
          </w:p>
        </w:tc>
        <w:tc>
          <w:tcPr>
            <w:tcW w:w="88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4"/>
              </w:rPr>
              <w:t>11/07/2025</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92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by Power of Attorney</w:t>
            </w:r>
          </w:p>
        </w:tc>
        <w:tc>
          <w:tcPr>
            <w:tcW w:w="260" w:type="dxa"/>
            <w:vAlign w:val="bottom"/>
            <w:vMerge w:val="restart"/>
          </w:tcPr>
          <w:p>
            <w:pPr>
              <w:spacing w:after="0"/>
              <w:rPr>
                <w:sz w:val="8"/>
                <w:szCs w:val="8"/>
                <w:color w:val="auto"/>
              </w:rPr>
            </w:pPr>
          </w:p>
        </w:tc>
        <w:tc>
          <w:tcPr>
            <w:tcW w:w="8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920" w:type="dxa"/>
            <w:vAlign w:val="bottom"/>
            <w:gridSpan w:val="2"/>
            <w:vMerge w:val="continue"/>
          </w:tcPr>
          <w:p>
            <w:pPr>
              <w:spacing w:after="0"/>
              <w:rPr>
                <w:sz w:val="8"/>
                <w:szCs w:val="8"/>
                <w:color w:val="auto"/>
              </w:rPr>
            </w:pPr>
          </w:p>
        </w:tc>
        <w:tc>
          <w:tcPr>
            <w:tcW w:w="26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168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 Signature of Reporting</w:t>
            </w:r>
          </w:p>
        </w:tc>
        <w:tc>
          <w:tcPr>
            <w:tcW w:w="500" w:type="dxa"/>
            <w:vAlign w:val="bottom"/>
            <w:gridSpan w:val="2"/>
          </w:tcPr>
          <w:p>
            <w:pPr>
              <w:spacing w:after="0"/>
              <w:rPr>
                <w:sz w:val="20"/>
                <w:szCs w:val="20"/>
                <w:color w:val="auto"/>
              </w:rPr>
            </w:pP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8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090383" TargetMode="External"/><Relationship Id="rId11"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2025-11-10T08:56:37Z</dcterms:created>
  <dcterms:modified xsi:type="dcterms:W3CDTF">2025-11-10T08:56:37Z</dcterms:modified>
</cp:coreProperties>
</file>