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7389</w:t>
            </w: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Cane Clark Agency, LLC</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400 Water Street, Suite 200</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3273 E. Warm Springs Rd.</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Rochester, MI 48307</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Las Vegas, NV 89120</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 651-6568</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(702) 312-6255</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0"/>
              </w:rPr>
              <w:t>(Address, including zip code, and telephone</w:t>
            </w:r>
          </w:p>
        </w:tc>
        <w:tc>
          <w:tcPr>
            <w:tcW w:w="2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89"/>
              </w:rPr>
              <w:t>(Name, address, including zip code, and telephone</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number, including area code, of principal</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number, including area code, of agent for service)</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24"/>
                <w:szCs w:val="24"/>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520"/>
              <w:spacing w:after="0"/>
              <w:rPr>
                <w:sz w:val="20"/>
                <w:szCs w:val="20"/>
                <w:color w:val="auto"/>
              </w:rPr>
            </w:pPr>
            <w:r>
              <w:rPr>
                <w:rFonts w:ascii="Arial" w:cs="Arial" w:eastAsia="Arial" w:hAnsi="Arial"/>
                <w:sz w:val="18"/>
                <w:szCs w:val="18"/>
                <w:color w:val="auto"/>
              </w:rPr>
              <w:t>(Do not check if a smaller reporting company)</w:t>
            </w:r>
          </w:p>
        </w:tc>
        <w:tc>
          <w:tcPr>
            <w:tcW w:w="286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635"/>
        </w:trPr>
        <w:tc>
          <w:tcPr>
            <w:tcW w:w="2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20" w:type="dxa"/>
            <w:vAlign w:val="bottom"/>
            <w:gridSpan w:val="4"/>
          </w:tcPr>
          <w:p>
            <w:pPr>
              <w:ind w:left="2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20" w:type="dxa"/>
            <w:vAlign w:val="bottom"/>
          </w:tcPr>
          <w:p>
            <w:pPr>
              <w:spacing w:after="0"/>
              <w:rPr>
                <w:sz w:val="18"/>
                <w:szCs w:val="18"/>
                <w:color w:val="auto"/>
              </w:rPr>
            </w:pPr>
          </w:p>
        </w:tc>
        <w:tc>
          <w:tcPr>
            <w:tcW w:w="3940" w:type="dxa"/>
            <w:vAlign w:val="bottom"/>
          </w:tcPr>
          <w:p>
            <w:pPr>
              <w:jc w:val="center"/>
              <w:ind w:left="1790"/>
              <w:spacing w:after="0"/>
              <w:rPr>
                <w:sz w:val="20"/>
                <w:szCs w:val="20"/>
                <w:color w:val="auto"/>
              </w:rPr>
            </w:pPr>
            <w:r>
              <w:rPr>
                <w:rFonts w:ascii="Arial" w:cs="Arial" w:eastAsia="Arial" w:hAnsi="Arial"/>
                <w:sz w:val="18"/>
                <w:szCs w:val="18"/>
                <w:b w:val="1"/>
                <w:bCs w:val="1"/>
                <w:color w:val="auto"/>
                <w:w w:val="86"/>
              </w:rPr>
              <w:t>Title of each class of</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 to be</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Registration</w:t>
            </w:r>
          </w:p>
        </w:tc>
      </w:tr>
      <w:tr>
        <w:trPr>
          <w:trHeight w:val="241"/>
        </w:trPr>
        <w:tc>
          <w:tcPr>
            <w:tcW w:w="20" w:type="dxa"/>
            <w:vAlign w:val="bottom"/>
          </w:tcPr>
          <w:p>
            <w:pPr>
              <w:spacing w:after="0"/>
              <w:rPr>
                <w:sz w:val="20"/>
                <w:szCs w:val="20"/>
                <w:color w:val="auto"/>
              </w:rPr>
            </w:pPr>
          </w:p>
        </w:tc>
        <w:tc>
          <w:tcPr>
            <w:tcW w:w="3940" w:type="dxa"/>
            <w:vAlign w:val="bottom"/>
          </w:tcPr>
          <w:p>
            <w:pPr>
              <w:jc w:val="center"/>
              <w:ind w:left="1850"/>
              <w:spacing w:after="0"/>
              <w:rPr>
                <w:sz w:val="20"/>
                <w:szCs w:val="20"/>
                <w:color w:val="auto"/>
              </w:rPr>
            </w:pPr>
            <w:r>
              <w:rPr>
                <w:rFonts w:ascii="Arial" w:cs="Arial" w:eastAsia="Arial" w:hAnsi="Arial"/>
                <w:sz w:val="18"/>
                <w:szCs w:val="18"/>
                <w:b w:val="1"/>
                <w:bCs w:val="1"/>
                <w:color w:val="auto"/>
                <w:w w:val="87"/>
              </w:rPr>
              <w:t>securities to be registered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Registered(1) (2)</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per Share(3)</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8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Fee(4)</w:t>
            </w:r>
          </w:p>
        </w:tc>
      </w:tr>
      <w:tr>
        <w:trPr>
          <w:trHeight w:val="230"/>
        </w:trPr>
        <w:tc>
          <w:tcPr>
            <w:tcW w:w="2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849,139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976,510</w:t>
            </w:r>
          </w:p>
        </w:tc>
        <w:tc>
          <w:tcPr>
            <w:tcW w:w="2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ind w:left="4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being registered hereunder include such indeterminate number of shares of our Common Stock as may be issuable with respect to the shares being registered hereunder to prevent dilution by reason of any stock dividend, stock split, recapitalization or other similar transaction.</w:t>
      </w:r>
    </w:p>
    <w:p>
      <w:pPr>
        <w:spacing w:after="0" w:line="181" w:lineRule="exact"/>
        <w:rPr>
          <w:rFonts w:ascii="Arial" w:cs="Arial" w:eastAsia="Arial" w:hAnsi="Arial"/>
          <w:sz w:val="18"/>
          <w:szCs w:val="18"/>
          <w:color w:val="auto"/>
        </w:rPr>
      </w:pPr>
    </w:p>
    <w:p>
      <w:pPr>
        <w:ind w:left="46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804,139 shares of common stock issuable upon the exercise of warrants held by placement agents in our March 2014 Private Placement. Also includes 45,000 shares of common stock that were issued under an Advisor Agreement with Merriman Capital, Inc. dated February 23, 2015.</w:t>
      </w:r>
    </w:p>
    <w:p>
      <w:pPr>
        <w:spacing w:after="0" w:line="123"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upon the closing price per share of our Common Stock as reported on the OTCQB, on April 28, 2015.</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of $127.50 was previously paid for an offering of 849,139 shares of common stock under this Registration Statement. We have reduced the offering amount to 849,139 shares of common stock as set forth above, which remains covered under the payment of the initial Registration Fee.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Rule 429 under the Securities Act of 1933, the prospectus included in this Registration Statement is a combined prospectus relating to 804,139 shares of common stock issuable upon the exercise of warrants held by placement agents in our March 2014 Private Placement, which were registered for a fee of $179.41 on Registration Statement No. 333-195210 previously filed by us on Form S-1 and declared effective May 28, 2014. There are no other shares outstanding under Registration Statement No. 333-195210.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849,139 Shares of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relates to the resale by the Selling Shareholders of up to 849,139 shares of our Common Stock, par value $0.001 per share (the “Common Stock”). Of the Common Stock offered herein, 804,139 shares are issuable upon the exercise of warrants held by placement agents that were issued in connection with our March 2014 Private Placement (described below) and 45,000 shares that were issued to Merriman Capital, Inc. under an Advisory Agreement dated February 23, 2015.</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May 29, 2015, the last reported sale price of our Common Stock was $1.02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June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154940</wp:posOffset>
            </wp:positionV>
            <wp:extent cx="2598420" cy="840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7280" w:type="dxa"/>
            <w:vAlign w:val="bottom"/>
            <w:gridSpan w:val="12"/>
          </w:tcPr>
          <w:p>
            <w:pPr>
              <w:spacing w:after="0"/>
              <w:rPr>
                <w:sz w:val="17"/>
                <w:szCs w:val="17"/>
                <w:color w:val="auto"/>
              </w:rPr>
            </w:pPr>
          </w:p>
        </w:tc>
        <w:tc>
          <w:tcPr>
            <w:tcW w:w="1900" w:type="dxa"/>
            <w:vAlign w:val="bottom"/>
          </w:tcPr>
          <w:p>
            <w:pPr>
              <w:jc w:val="center"/>
              <w:ind w:left="570"/>
              <w:spacing w:after="0"/>
              <w:rPr>
                <w:sz w:val="20"/>
                <w:szCs w:val="20"/>
                <w:color w:val="auto"/>
              </w:rPr>
            </w:pPr>
            <w:r>
              <w:rPr>
                <w:rFonts w:ascii="Arial" w:cs="Arial" w:eastAsia="Arial" w:hAnsi="Arial"/>
                <w:sz w:val="18"/>
                <w:szCs w:val="18"/>
                <w:color w:val="auto"/>
                <w:w w:val="79"/>
              </w:rPr>
              <w:t>1</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FORWARD-LOOKING STATEMENTS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3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5920" w:type="dxa"/>
            <w:vAlign w:val="bottom"/>
            <w:gridSpan w:val="7"/>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8260" w:type="dxa"/>
            <w:vAlign w:val="bottom"/>
            <w:gridSpan w:val="18"/>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DETERMINATION OF OFFERING PRICE</w:t>
              </w:r>
            </w:hyperlink>
          </w:p>
        </w:tc>
        <w:tc>
          <w:tcPr>
            <w:tcW w:w="6280" w:type="dxa"/>
            <w:vAlign w:val="bottom"/>
            <w:gridSpan w:val="8"/>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SHAREHOLDERS</w:t>
              </w:r>
            </w:hyperlink>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9</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PLAN OF DISTRIBUTION</w:t>
              </w:r>
            </w:hyperlink>
          </w:p>
        </w:tc>
        <w:tc>
          <w:tcPr>
            <w:tcW w:w="160" w:type="dxa"/>
            <w:vAlign w:val="bottom"/>
            <w:tcBorders>
              <w:top w:val="single" w:sz="8" w:color="0000EE"/>
            </w:tcBorders>
            <w:gridSpan w:val="2"/>
          </w:tcPr>
          <w:p>
            <w:pPr>
              <w:spacing w:after="0"/>
              <w:rPr>
                <w:sz w:val="17"/>
                <w:szCs w:val="17"/>
                <w:color w:val="auto"/>
              </w:rPr>
            </w:pPr>
          </w:p>
        </w:tc>
        <w:tc>
          <w:tcPr>
            <w:tcW w:w="7300" w:type="dxa"/>
            <w:vAlign w:val="bottom"/>
            <w:gridSpan w:val="13"/>
          </w:tcPr>
          <w:p>
            <w:pPr>
              <w:spacing w:after="0"/>
              <w:rPr>
                <w:sz w:val="17"/>
                <w:szCs w:val="17"/>
                <w:color w:val="auto"/>
              </w:rPr>
            </w:pPr>
          </w:p>
        </w:tc>
        <w:tc>
          <w:tcPr>
            <w:tcW w:w="19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18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DIRECTORS, EXECUTIVE OFFICERS, PROMOTERS AND CONTROL PERSONS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13</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SECURITY OWNERSHIP OF CERTAIN BENEFICIAL OWNERS AND MANAGEMENT</w:t>
              </w:r>
            </w:hyperlink>
          </w:p>
        </w:tc>
        <w:tc>
          <w:tcPr>
            <w:tcW w:w="2780" w:type="dxa"/>
            <w:vAlign w:val="bottom"/>
            <w:gridSpan w:val="2"/>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SECURITIES</w:t>
              </w:r>
            </w:hyperlink>
          </w:p>
        </w:tc>
        <w:tc>
          <w:tcPr>
            <w:tcW w:w="7000" w:type="dxa"/>
            <w:vAlign w:val="bottom"/>
            <w:gridSpan w:val="9"/>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INTERESTS OF NAMED EXPERTS AND COUNSEL</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21</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DISCLOSURE OF COMMISSION POSITION OF INDEMNIFICATION FOR SECURITIES ACT LIABILITIES</w:t>
              </w:r>
            </w:hyperlink>
          </w:p>
        </w:tc>
        <w:tc>
          <w:tcPr>
            <w:tcW w:w="1200" w:type="dxa"/>
            <w:vAlign w:val="bottom"/>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22</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BUSINESS</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22</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CERTAIN RELATIONSHIPS AND RELATED TRANSACTIONS</w:t>
              </w:r>
            </w:hyperlink>
          </w:p>
        </w:tc>
        <w:tc>
          <w:tcPr>
            <w:tcW w:w="4640" w:type="dxa"/>
            <w:vAlign w:val="bottom"/>
            <w:gridSpan w:val="5"/>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MARKET FOR COMMON EQUITY AND RELATED STOCKHOLDER MATTERS</w:t>
              </w:r>
            </w:hyperlink>
          </w:p>
        </w:tc>
        <w:tc>
          <w:tcPr>
            <w:tcW w:w="3200" w:type="dxa"/>
            <w:vAlign w:val="bottom"/>
            <w:gridSpan w:val="3"/>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EXECUTIVE COMPENSATION</w:t>
              </w:r>
            </w:hyperlink>
          </w:p>
        </w:tc>
        <w:tc>
          <w:tcPr>
            <w:tcW w:w="7060" w:type="dxa"/>
            <w:vAlign w:val="bottom"/>
            <w:gridSpan w:val="10"/>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37</w:t>
            </w: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FINANCIAL STATEMENTS</w:t>
              </w:r>
            </w:hyperlink>
          </w:p>
        </w:tc>
        <w:tc>
          <w:tcPr>
            <w:tcW w:w="7360" w:type="dxa"/>
            <w:vAlign w:val="bottom"/>
            <w:gridSpan w:val="14"/>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41</w:t>
            </w:r>
          </w:p>
        </w:tc>
      </w:tr>
      <w:tr>
        <w:trPr>
          <w:trHeight w:val="196"/>
        </w:trPr>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CHANGES IN AND DISAGREEMENTS WITH ACCOUNTANTS</w:t>
              </w:r>
            </w:hyperlink>
          </w:p>
        </w:tc>
        <w:tc>
          <w:tcPr>
            <w:tcW w:w="4560" w:type="dxa"/>
            <w:vAlign w:val="bottom"/>
            <w:gridSpan w:val="4"/>
          </w:tcPr>
          <w:p>
            <w:pPr>
              <w:spacing w:after="0"/>
              <w:rPr>
                <w:sz w:val="17"/>
                <w:szCs w:val="17"/>
                <w:color w:val="auto"/>
              </w:rPr>
            </w:pPr>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42</w:t>
            </w:r>
          </w:p>
        </w:tc>
      </w:tr>
      <w:tr>
        <w:trPr>
          <w:trHeight w:val="196"/>
        </w:trPr>
        <w:tc>
          <w:tcPr>
            <w:tcW w:w="952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AVAILABLE INFORMATION</w:t>
              </w:r>
            </w:hyperlink>
          </w:p>
        </w:tc>
        <w:tc>
          <w:tcPr>
            <w:tcW w:w="1900" w:type="dxa"/>
            <w:vAlign w:val="bottom"/>
          </w:tcPr>
          <w:p>
            <w:pPr>
              <w:jc w:val="center"/>
              <w:ind w:left="550"/>
              <w:spacing w:after="0" w:line="196" w:lineRule="exact"/>
              <w:rPr>
                <w:sz w:val="20"/>
                <w:szCs w:val="20"/>
                <w:color w:val="auto"/>
              </w:rPr>
            </w:pPr>
            <w:r>
              <w:rPr>
                <w:rFonts w:ascii="Arial" w:cs="Arial" w:eastAsia="Arial" w:hAnsi="Arial"/>
                <w:sz w:val="18"/>
                <w:szCs w:val="18"/>
                <w:color w:val="auto"/>
                <w:w w:val="89"/>
              </w:rPr>
              <w:t>42</w:t>
            </w:r>
          </w:p>
        </w:tc>
      </w:tr>
      <w:tr>
        <w:trPr>
          <w:trHeight w:val="676"/>
        </w:trPr>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307580" cy="568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7580" cy="56896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849,139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ind w:left="6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6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60" w:right="2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233" w:right="17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242175" cy="6238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62388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ind w:left="60"/>
        <w:spacing w:after="0" w:line="308" w:lineRule="auto"/>
        <w:rPr>
          <w:sz w:val="20"/>
          <w:szCs w:val="20"/>
          <w:color w:val="auto"/>
        </w:rPr>
      </w:pPr>
      <w:r>
        <w:rPr>
          <w:rFonts w:ascii="Arial" w:cs="Arial" w:eastAsia="Arial" w:hAnsi="Arial"/>
          <w:sz w:val="17"/>
          <w:szCs w:val="17"/>
          <w:color w:val="auto"/>
        </w:rPr>
        <w:t>Our consumer support website, www.OPTIMIZERx.com and our subscriber base exceeding 2.5 million patients , continues to grow each month and we believe is quickly becoming the preferred way to access branded prescription vouchers, co-pay savings and other support programs.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ind w:left="60"/>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Pursuant to Rule 429 under the Securities Act of 1933, the prospectus included in this Registration Statement is a combined prospectus relating to the Agent Warrants, which were registered for a fee of $179.41 on Registration Statement No. 333-195210 previously filed by the Registrant on Form S-1 and declared effective May 28, 2014. There are no other shares outstanding under Registration Statement No. 333-195210.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On February 23, 2015, we entered into an advisory agreement (the “Advisory Agreement”) with Merriman Capital, Inc. (“Merriman”). In exchange for advisory services pertaining to capital market interactions, we agreed to issue to Merriman 45,000 shares of common stock upon execution of the Advisory Agreement, with 45,000 additional shares of common stock due on or before August 15, 2015 and 60,000 shares of common stock as a bonus if we successfully up-list to a national exchange. We have issued and delivered to Merriman the 45,000 initial shares, which are being registered herein as a condition of the Advisory Agreement (the “Advisory Shares”). The sale of these shares has been completed and Merriman bears the market risk in connection with these shares.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83"/>
        </w:trPr>
        <w:tc>
          <w:tcPr>
            <w:tcW w:w="40" w:type="dxa"/>
            <w:vAlign w:val="bottom"/>
            <w:tcBorders>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gridSpan w:val="6"/>
          </w:tcPr>
          <w:p>
            <w:pPr>
              <w:ind w:left="1300"/>
              <w:spacing w:after="0"/>
              <w:rPr>
                <w:sz w:val="20"/>
                <w:szCs w:val="20"/>
                <w:color w:val="auto"/>
              </w:rPr>
            </w:pPr>
            <w:r>
              <w:rPr>
                <w:rFonts w:ascii="Arial" w:cs="Arial" w:eastAsia="Arial" w:hAnsi="Arial"/>
                <w:sz w:val="18"/>
                <w:szCs w:val="18"/>
                <w:b w:val="1"/>
                <w:bCs w:val="1"/>
                <w:color w:val="auto"/>
              </w:rPr>
              <w:t>The Offering</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w w:val="95"/>
              </w:rPr>
              <w:t>Common stock offered by the Selling Shareholders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849,139 shares of common stock, consisting of Agent Warrants to purchase up to 804,139 shares of</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0" w:type="dxa"/>
            <w:vAlign w:val="bottom"/>
            <w:gridSpan w:val="14"/>
          </w:tcPr>
          <w:p>
            <w:pPr>
              <w:ind w:left="220"/>
              <w:spacing w:after="0"/>
              <w:rPr>
                <w:sz w:val="20"/>
                <w:szCs w:val="20"/>
                <w:color w:val="auto"/>
              </w:rPr>
            </w:pPr>
            <w:r>
              <w:rPr>
                <w:rFonts w:ascii="Arial" w:cs="Arial" w:eastAsia="Arial" w:hAnsi="Arial"/>
                <w:sz w:val="18"/>
                <w:szCs w:val="18"/>
                <w:color w:val="auto"/>
              </w:rPr>
              <w:t>our common stock and 45,000 Advisory Shares of our common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Selling Shareholders</w:t>
            </w:r>
          </w:p>
        </w:tc>
        <w:tc>
          <w:tcPr>
            <w:tcW w:w="4920" w:type="dxa"/>
            <w:vAlign w:val="bottom"/>
            <w:gridSpan w:val="11"/>
          </w:tcPr>
          <w:p>
            <w:pPr>
              <w:ind w:left="2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Common stock outstanding</w:t>
            </w:r>
          </w:p>
        </w:tc>
        <w:tc>
          <w:tcPr>
            <w:tcW w:w="4920" w:type="dxa"/>
            <w:vAlign w:val="bottom"/>
            <w:gridSpan w:val="11"/>
          </w:tcPr>
          <w:p>
            <w:pPr>
              <w:ind w:left="220"/>
              <w:spacing w:after="0"/>
              <w:rPr>
                <w:sz w:val="20"/>
                <w:szCs w:val="20"/>
                <w:color w:val="auto"/>
              </w:rPr>
            </w:pPr>
            <w:r>
              <w:rPr>
                <w:rFonts w:ascii="Arial" w:cs="Arial" w:eastAsia="Arial" w:hAnsi="Arial"/>
                <w:sz w:val="18"/>
                <w:szCs w:val="18"/>
                <w:color w:val="auto"/>
              </w:rPr>
              <w:t>22,912,319 shares of common stock as of April 17, 2015.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Use of proceeds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3"/>
              </w:rPr>
              <w:t>We will not receive any proceeds from the sale or other disposition of the shares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0"/>
              </w:rPr>
              <w:t>covered by this prospectus. However, upon any exercise of the Agent Warrants for cash, such Selling</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Shareholders would pay us the exercise price of the warrants. Cash received from exercise of Agent</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0"/>
              </w:rPr>
              <w:t>Warrants will be used for general corporate purposes. Additionally, the Warrants are exercisable on a</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2"/>
              </w:rPr>
              <w:t>cashless basis. If any Agent Warrants are exercised on a cashless basis, we would not receive any</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cash payment from such Selling Shareholders upon any exercise of such Agent Warrants. See “</w:t>
            </w:r>
            <w:r>
              <w:rPr>
                <w:rFonts w:ascii="Arial" w:cs="Arial" w:eastAsia="Arial" w:hAnsi="Arial"/>
                <w:sz w:val="18"/>
                <w:szCs w:val="18"/>
                <w:i w:val="1"/>
                <w:iCs w:val="1"/>
                <w:color w:val="auto"/>
                <w:w w:val="91"/>
              </w:rPr>
              <w:t>Use</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80" w:type="dxa"/>
            <w:vAlign w:val="bottom"/>
            <w:gridSpan w:val="3"/>
          </w:tcPr>
          <w:p>
            <w:pPr>
              <w:ind w:left="220"/>
              <w:spacing w:after="0"/>
              <w:rPr>
                <w:sz w:val="20"/>
                <w:szCs w:val="20"/>
                <w:color w:val="auto"/>
              </w:rPr>
            </w:pPr>
            <w:r>
              <w:rPr>
                <w:rFonts w:ascii="Arial" w:cs="Arial" w:eastAsia="Arial" w:hAnsi="Arial"/>
                <w:sz w:val="18"/>
                <w:szCs w:val="18"/>
                <w:i w:val="1"/>
                <w:iCs w:val="1"/>
                <w:color w:val="auto"/>
              </w:rPr>
              <w:t>of Proceeds</w:t>
            </w:r>
            <w:r>
              <w:rPr>
                <w:rFonts w:ascii="Arial" w:cs="Arial" w:eastAsia="Arial" w:hAnsi="Arial"/>
                <w:sz w:val="18"/>
                <w:szCs w:val="18"/>
                <w:color w:val="auto"/>
              </w:rPr>
              <w:t>” on page 9.</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OTC Bulletin Board Symbol</w:t>
            </w:r>
          </w:p>
        </w:tc>
        <w:tc>
          <w:tcPr>
            <w:tcW w:w="6200" w:type="dxa"/>
            <w:vAlign w:val="bottom"/>
            <w:gridSpan w:val="14"/>
          </w:tcPr>
          <w:p>
            <w:pPr>
              <w:ind w:left="220"/>
              <w:spacing w:after="0"/>
              <w:rPr>
                <w:sz w:val="20"/>
                <w:szCs w:val="20"/>
                <w:color w:val="auto"/>
              </w:rPr>
            </w:pPr>
            <w:r>
              <w:rPr>
                <w:rFonts w:ascii="Arial" w:cs="Arial" w:eastAsia="Arial" w:hAnsi="Arial"/>
                <w:sz w:val="18"/>
                <w:szCs w:val="18"/>
                <w:color w:val="auto"/>
                <w:w w:val="95"/>
              </w:rPr>
              <w:t>Our Common Stock is quoted on the OTCQB under the ticker symbol “OPRX”.</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Risk Factors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You should consider the matters set forth under “</w:t>
            </w:r>
            <w:r>
              <w:rPr>
                <w:rFonts w:ascii="Arial" w:cs="Arial" w:eastAsia="Arial" w:hAnsi="Arial"/>
                <w:sz w:val="18"/>
                <w:szCs w:val="18"/>
                <w:i w:val="1"/>
                <w:iCs w:val="1"/>
                <w:color w:val="auto"/>
                <w:w w:val="91"/>
              </w:rPr>
              <w:t>Risk Factors</w:t>
            </w:r>
            <w:r>
              <w:rPr>
                <w:rFonts w:ascii="Arial" w:cs="Arial" w:eastAsia="Arial" w:hAnsi="Arial"/>
                <w:sz w:val="18"/>
                <w:szCs w:val="18"/>
                <w:color w:val="auto"/>
                <w:w w:val="91"/>
              </w:rPr>
              <w:t>” beginning on page 4, as well as other</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cautionary statements throughout or incorporated by reference in this prospectus, before deciding to</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520" w:type="dxa"/>
            <w:vAlign w:val="bottom"/>
            <w:gridSpan w:val="6"/>
          </w:tcPr>
          <w:p>
            <w:pPr>
              <w:ind w:left="220"/>
              <w:spacing w:after="0"/>
              <w:rPr>
                <w:sz w:val="20"/>
                <w:szCs w:val="20"/>
                <w:color w:val="auto"/>
              </w:rPr>
            </w:pPr>
            <w:r>
              <w:rPr>
                <w:rFonts w:ascii="Arial" w:cs="Arial" w:eastAsia="Arial" w:hAnsi="Arial"/>
                <w:sz w:val="18"/>
                <w:szCs w:val="18"/>
                <w:color w:val="auto"/>
              </w:rPr>
              <w:t>invest in shares of our common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520" w:type="dxa"/>
            <w:vAlign w:val="bottom"/>
            <w:gridSpan w:val="6"/>
          </w:tcPr>
          <w:p>
            <w:pPr>
              <w:ind w:left="560"/>
              <w:spacing w:after="0"/>
              <w:rPr>
                <w:sz w:val="20"/>
                <w:szCs w:val="20"/>
                <w:color w:val="auto"/>
              </w:rPr>
            </w:pPr>
            <w:r>
              <w:rPr>
                <w:rFonts w:ascii="Arial" w:cs="Arial" w:eastAsia="Arial" w:hAnsi="Arial"/>
                <w:sz w:val="18"/>
                <w:szCs w:val="18"/>
                <w:b w:val="1"/>
                <w:bCs w:val="1"/>
                <w:color w:val="auto"/>
              </w:rPr>
              <w:t>Summary Financial Information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3,446,973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3,510,823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7,028,806</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3,952,765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6,759,196</w:t>
            </w:r>
          </w:p>
        </w:tc>
        <w:tc>
          <w:tcPr>
            <w:tcW w:w="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9"/>
              </w:rPr>
              <w:t>2,418,722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2,284,563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2,180,722</w:t>
            </w:r>
          </w:p>
        </w:tc>
        <w:tc>
          <w:tcPr>
            <w:tcW w:w="4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4,610,084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1,668,202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4,578,474</w:t>
            </w:r>
          </w:p>
        </w:tc>
        <w:tc>
          <w:tcPr>
            <w:tcW w:w="40" w:type="dxa"/>
            <w:vAlign w:val="bottom"/>
            <w:tcBorders>
              <w:right w:val="single" w:sz="8" w:color="auto"/>
            </w:tcBorders>
          </w:tcPr>
          <w:p>
            <w:pPr>
              <w:spacing w:after="0"/>
              <w:rPr>
                <w:sz w:val="20"/>
                <w:szCs w:val="20"/>
                <w:color w:val="auto"/>
              </w:rPr>
            </w:pPr>
          </w:p>
        </w:tc>
      </w:tr>
      <w:tr>
        <w:trPr>
          <w:trHeight w:val="616"/>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80" w:type="dxa"/>
            <w:vAlign w:val="bottom"/>
          </w:tcPr>
          <w:p>
            <w:pPr>
              <w:spacing w:after="0"/>
              <w:rPr>
                <w:sz w:val="24"/>
                <w:szCs w:val="24"/>
                <w:color w:val="auto"/>
              </w:rPr>
            </w:pPr>
          </w:p>
        </w:tc>
        <w:tc>
          <w:tcPr>
            <w:tcW w:w="12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1,289,428</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47"/>
        </w:trPr>
        <w:tc>
          <w:tcPr>
            <w:tcW w:w="40" w:type="dxa"/>
            <w:vAlign w:val="bottom"/>
            <w:tcBorders>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(Loss) for the Period</w:t>
            </w:r>
          </w:p>
        </w:tc>
        <w:tc>
          <w:tcPr>
            <w:tcW w:w="2280" w:type="dxa"/>
            <w:vAlign w:val="bottom"/>
            <w:tcBorders>
              <w:bottom w:val="single" w:sz="8" w:color="auto"/>
            </w:tcBorders>
            <w:gridSpan w:val="3"/>
          </w:tcPr>
          <w:p>
            <w:pPr>
              <w:ind w:left="21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(1,025,393)</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(267,290)</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(111,201)</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(762,095)</w:t>
            </w:r>
          </w:p>
        </w:tc>
        <w:tc>
          <w:tcPr>
            <w:tcW w:w="40" w:type="dxa"/>
            <w:vAlign w:val="bottom"/>
            <w:tcBorders>
              <w:bottom w:val="single" w:sz="8" w:color="auto"/>
              <w:right w:val="single" w:sz="8" w:color="auto"/>
            </w:tcBorders>
          </w:tcPr>
          <w:p>
            <w:pPr>
              <w:spacing w:after="0"/>
              <w:rPr>
                <w:sz w:val="21"/>
                <w:szCs w:val="21"/>
                <w:color w:val="auto"/>
              </w:rPr>
            </w:pPr>
          </w:p>
        </w:tc>
      </w:tr>
      <w:tr>
        <w:trPr>
          <w:trHeight w:val="659"/>
        </w:trPr>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-2417445</wp:posOffset>
            </wp:positionV>
            <wp:extent cx="7246620" cy="84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40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-745490</wp:posOffset>
            </wp:positionV>
            <wp:extent cx="724662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520"/>
          </w:cols>
          <w:pgMar w:left="240" w:top="233" w:right="1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we will be able to attract competent employees, but no assurance can be given that we will be successful in this regard. If we are unable to engage and retain the necessary personnel, our business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Auxilium, Actavis, AstraZeneca, Alcon, Daichi Sankyo, Shire, Activis,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64%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 Loss of any of these contracts would adversely affect our revenue and impede our ability to grow revenues.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849,139 shares of our Common Stock. Of the shares of common stock being offered under this prospectus 804,139 shares are able to be acquired pursuant to the Agent Warrants we issued in connection with our March 2014 Private Placement, which Agent Warrants are currently exercisable. The remaining 45,000 Advisory Shares were issued in connection with an Advisory Agreement with Merriman. We have issued and delivered to Merriman the 45,000 shares of common stock that were earned under the Advisory Agreement as of the date of execution.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and Advisory Shares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22,912,319 shares of Common Stock issued and outstanding as of April 17, 2015. Beneficial ownership is determined under Section 13(d) of the Exchange Act and generally includes voting or investment power with respect to securities and including any securities that grant the Selling Shareholders the right to acquire Common Stock within 60 days of April 17, 2015. Unless otherwise noted, each person or group identified possesses sole voting and investment power with respect to the shares, subject to community property laws where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Shares of Common Stock</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Owned After</w:t>
            </w:r>
          </w:p>
        </w:tc>
        <w:tc>
          <w:tcPr>
            <w:tcW w:w="100" w:type="dxa"/>
            <w:vAlign w:val="bottom"/>
          </w:tcPr>
          <w:p>
            <w:pPr>
              <w:spacing w:after="0"/>
              <w:rPr>
                <w:sz w:val="18"/>
                <w:szCs w:val="18"/>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After the Sale of</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the Sale of all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the Sale of all</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covered</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covered by</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Covered by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covered by</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by</w:t>
            </w:r>
          </w:p>
        </w:tc>
      </w:tr>
      <w:tr>
        <w:trPr>
          <w:trHeight w:val="24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Shareholder</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 Prospectus</w:t>
            </w:r>
          </w:p>
        </w:tc>
        <w:tc>
          <w:tcPr>
            <w:tcW w:w="10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this Prospectus</w:t>
            </w:r>
          </w:p>
        </w:tc>
      </w:tr>
      <w:tr>
        <w:trPr>
          <w:trHeight w:val="202"/>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Merriman Capital, Inc.(1)</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Merriman Capital, Inc.(2)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591,613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591,613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Taglich Brothers, Inc.(3)</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212,526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212,526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45,000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time of the purchase of the securities to be resold under this Prospectus, the Selling Shareholders either received their securities as compensation in connection with investment banking services provided in connection with the March 2014 Private Placement, or purchased the securities in the ordinary course of business and represented to us that they did not have any agreements or understandings, directly or indirectly, with any person to distribute the securities.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its eCoupon programs in the LDM network, not allowing us to distribute the LDM patient education programs, and not providing other information required under the settlement agreement. We are seeking enforcement of the settlement agreement and is seeking damages in an amount at least equal to the amounts paid to date to LDM under the settlement agreement, which approximates $1.0 million,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is seeking damages in an amount at least equal the amounts we have paid to date to LDM under the settlement agreement, which approximates $1.0 million, as well as damages for lost income and business value as a result of PDR’s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United States District Court in the District of New Jersey, without predjudice.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2014 we learned that Mr. Milton Wilpon (“Mr. Wilpon”) of New Jersey claimed to have obtained a default judgment for approximately $929,000 in the New Jersey Superior Court, Essex County (the “Judgment”) against a predecessor of the Company and was seeking to amend the Judgment to add us as a judgment debtor. The Judgment was entered in 2006 when the predecessor of the Company was a dormant shell company and the Judgment allegedly related to a settlement agreement that was breached in 2001 (the “Settlement Agreement”). We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our motion and vacated the Judgment in its entirety and dismissed the action.</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petitioned the AAA to terminate the proceeding and in April 2015, the proceeding was terminated.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640" w:type="dxa"/>
            <w:vAlign w:val="bottom"/>
            <w:tcBorders>
              <w:bottom w:val="single" w:sz="8" w:color="auto"/>
            </w:tcBorders>
          </w:tcPr>
          <w:p>
            <w:pPr>
              <w:ind w:left="280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Chairman, Chief Executive Officer, Chief Strategic Officer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Operating Officer, Secretary, Treasurer and Director (1)</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February 1, 2015 Mr. Lester moved from the role of Chief Operating Officer to Vice President, Channel Management.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our Chief Strategic Officer since August 14, 2013 and our Chief Executive Officer since September 20, 2013.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Lester served as our Secretary since July 28, 2010, and Chief Operating Officer since January 14, 2013 until he transitioned to Vice President, Channel Management in January 2015. 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an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Lester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Lester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
        <w:spacing w:after="0" w:line="277" w:lineRule="auto"/>
        <w:tabs>
          <w:tab w:leader="none" w:pos="1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2014, the board of directors:</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Reviewed and discussed the written disclosures and the letter from our independent auditors on the matters relating to the auditor's independence.</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2014 to be included in this Prospectus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Known failures</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Transactions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not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file a required</w:t>
            </w: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w w:val="91"/>
              </w:rPr>
              <w:t>late reports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timely 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form</w:t>
            </w:r>
          </w:p>
        </w:tc>
      </w:tr>
      <w:tr>
        <w:trPr>
          <w:trHeight w:val="202"/>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A. Harrell</w:t>
            </w:r>
          </w:p>
        </w:tc>
        <w:tc>
          <w:tcPr>
            <w:tcW w:w="2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CEO, Chairman, Chief Strategic Officer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COO, Secretary, Treasurer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55"/>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April 17, 2015, by each Director, each Named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Common 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Beneficial</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Percentage</w:t>
            </w:r>
          </w:p>
        </w:tc>
      </w:tr>
      <w:tr>
        <w:trPr>
          <w:trHeight w:val="237"/>
        </w:trPr>
        <w:tc>
          <w:tcPr>
            <w:tcW w:w="2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Ownership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of Class</w:t>
            </w:r>
          </w:p>
        </w:tc>
        <w:tc>
          <w:tcPr>
            <w:tcW w:w="140" w:type="dxa"/>
            <w:vAlign w:val="bottom"/>
          </w:tcPr>
          <w:p>
            <w:pPr>
              <w:spacing w:after="0"/>
              <w:rPr>
                <w:sz w:val="20"/>
                <w:szCs w:val="20"/>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160" w:type="dxa"/>
            <w:vAlign w:val="bottom"/>
          </w:tcPr>
          <w:p>
            <w:pPr>
              <w:jc w:val="right"/>
              <w:spacing w:after="0"/>
              <w:rPr>
                <w:sz w:val="20"/>
                <w:szCs w:val="20"/>
                <w:color w:val="auto"/>
              </w:rPr>
            </w:pPr>
            <w:r>
              <w:rPr>
                <w:rFonts w:ascii="Arial" w:cs="Arial" w:eastAsia="Arial" w:hAnsi="Arial"/>
                <w:sz w:val="18"/>
                <w:szCs w:val="18"/>
                <w:color w:val="auto"/>
              </w:rPr>
              <w:t>246,850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521,875</w:t>
            </w:r>
          </w:p>
        </w:tc>
        <w:tc>
          <w:tcPr>
            <w:tcW w:w="1140" w:type="dxa"/>
            <w:vAlign w:val="bottom"/>
          </w:tcPr>
          <w:p>
            <w:pPr>
              <w:jc w:val="right"/>
              <w:spacing w:after="0"/>
              <w:rPr>
                <w:sz w:val="20"/>
                <w:szCs w:val="20"/>
                <w:color w:val="auto"/>
              </w:rPr>
            </w:pPr>
            <w:r>
              <w:rPr>
                <w:rFonts w:ascii="Arial" w:cs="Arial" w:eastAsia="Arial" w:hAnsi="Arial"/>
                <w:sz w:val="18"/>
                <w:szCs w:val="18"/>
                <w:color w:val="auto"/>
              </w:rPr>
              <w:t>2,583,750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3,352,475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265,625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752,125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373,348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472,348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All Executive Officers and 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467,850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4,113,696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5,419,046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Less than 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480" w:hanging="472"/>
        <w:spacing w:after="0" w:line="277"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April 17, 2015, and are included in common stock beneficial ownership pursuant to Rule 13d-3(d)(1) of the Exchange Act.</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April 17, 2015.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April 17, 2015 there were 22,912,319 shares of our common stock issued and outstanding and 0 shares of our preferred stock issued and outstanding.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45,000 shares in the Advisory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1,854,139 shares of our common stock at a weighted average exercise price of $1.69 as of December 31,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1,307,500 shares of our common stock at a weighted average exercise price of $1.31 as of December 31,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has also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2014 and into 2015, our company continues to be focused on four key operational areas: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pharmaceutical brands and budgets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physician utilization in our current EHR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promotional network in other EHRs and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infrastructure and resources to fully support and exploit each of the above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 this focus, we were able to demonstrate success in each during 2014 through:</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sales of approximately 39% over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promotional transactions of approximately 26% over those in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distributed eCoupons related to approximately 80 different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generated operating income of approximately $400,000, excluding non-cash expenses.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launching our SampleMD e-coupon solution within Quest Diagnostics’ Care360 EMR and eHealthline networks.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acquisition of new pharmaceutical manufacturers and brands promoting through our platforms.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of key senior level personnel, including a highly experienced financial executive as CFO and a former global marketing director from AstraZeneca to lead east coast sales, while expanded our Board of Directors with seasoned executives.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$10 million dollars in new capital to exercise the negotiated buyout of Vicis, which netted out an additional $2.8 million dollars to us, and a reduction of approximately 7 million in potential fully diluted shares.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and launch of the SampleMD 2.0 technology platform to support growth and are upgrading to Oracle database software to further improve system and reporting capacity.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and proving an outstanding Return on Investment associated with our pharmaceutical promotions through three independent analytics firms involving multiple pharmaceutical brands and manufacturers.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unveiling VoucherDVM and engaged leading platforms to offer automated vet product savings. The company has formalized an agreement with National Veterinary Associates, a leading national hospital network, to beta launch in second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positive cash flow from operations in 2014, excluding working capital fluctuations, and we expect to continue to do so in 2015, as well as to be profitable during the upcoming year based on the expected escalation of revenues.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in the process of completing the initial rollout of brands into the Practice Fusion network, as well as discussing 2015 rollout dates with other potential networks.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we signed an agreement with Practice Fusion, the largest cloud-based electronic health records (EHR) platform, to integrate and automate our patient savings and support system to enable Practice Fusion prescribers to more efficiently help patients better afford and adhere to their prescribed medications. Practice Fusion’s EHR is used by a community of more than 112,000 active medical professionals monthly with over 91 million patient records and should have a significant impact on our prescribing reach and sales once live. We anticipate that the integration will be completed early in the second quarter of 2015.</w:t>
      </w:r>
    </w:p>
    <w:p>
      <w:pPr>
        <w:sectPr>
          <w:pgSz w:w="11900" w:h="16838" w:orient="portrait"/>
          <w:cols w:equalWidth="0" w:num="1">
            <w:col w:w="11420"/>
          </w:cols>
          <w:pgMar w:left="240" w:top="233" w:right="239" w:bottom="1109"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109"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enforcing our agreements to integrate our promotions within LDM/PDR’s network of over 100,000 physicians and work collectively to integrate into NextGen. This delay in implementation of agreed terms has resulted in significant loss of revenue and profits to OptimizeRx. Thus we are aggressively seeking multiple strategies, including legal, to address and resolve this.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we signed an agreement with HCA Information Technology &amp; Services, Inc.to pilot our eCoupon promotional system within their network.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HCA is the largest hospital system in the 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our first agreement with National Veterinary Associates (NVA), one of the largest veterinary hospital systems in the 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at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focus on our New Drug File Integration.</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will begin a test rollout of our demand drug rep and sample request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ePrescribe Training – we have multiple opportunities pending to leverage our partnership with WPP/Grey to train representatives on understanding and leveraging EHR sales opportunities.</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VoucherDVM - we continue to advance our negotiations with each of the leading veterinarian technology platforms and have signed an agreement with National Veterinary Associates, one of the largest veterinary groups in the U.S., to initiate a beta launch within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Held multiple meetings generated through Pharma to bring on new Health Systems/ePrescribe Platforms.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the Noble Financial Capital Markets Eleventh Annual Equity Conference at Club Med.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Sponsored the 2nd Annual ePrescribe/EHR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and distributed a White Paper to demonstrate the eCoupon ROI to Pharmaceutical Manufacturers.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our partnership with Grey Healthcare, rebranded our promotional marketing items, including new brochures, presentations, and digital media.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generated positive cash flow from operations, when ignoring working capital fluctuations, of approximately $400,000 in 2014 as set forth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ind w:left="520"/>
              <w:spacing w:after="0"/>
              <w:rPr>
                <w:sz w:val="20"/>
                <w:szCs w:val="20"/>
                <w:color w:val="auto"/>
              </w:rPr>
            </w:pPr>
            <w:r>
              <w:rPr>
                <w:rFonts w:ascii="Arial" w:cs="Arial" w:eastAsia="Arial" w:hAnsi="Arial"/>
                <w:sz w:val="18"/>
                <w:szCs w:val="18"/>
                <w:color w:val="auto"/>
                <w:w w:val="92"/>
              </w:rPr>
              <w:t>Years Ended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88"/>
              </w:rPr>
              <w:t>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are intensively focused on increasing physician utilization of our partner networks. Prior to the launch of the Practice Fusion network, the total reach of our partner networks was approximately 300,000 providers. However, only approximately 100,000 providers have access to eCoupon functionality. Approximately 65,000 providers have used our eCoupon functionality at least once, but only approximately 20,000 providers actually use the networks regularly at the present time. We are working individually with each of our partners based on their particular situation to improve workflow to increase coupon utilization by those providers that have access, obtain access for those providers that currently do not have e-coupon access, and increase overall revenue derived from each channel. We believe there is significant revenue growth available within our existing brands by better utilization of our existing partner networks in addition to the revenue growth provided by new brands and new network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2014</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we also successfully completed a $10 million capital raise and exercised the option to redeem Vicis Capital Master Fund’s holdings in our company. By successfully executing these initiatives we reduced potential fully diluted shares by approximately 7 million and provided an additional $2.8 million in working capital to support our growth and eliminate dividend payments and other unfavorable provisions of Vicis’ preferred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added two new outside members to our Board of Directors. Gus Halas has an extensive operating background at a variety of companies across a wide range of industries. He brings broad based business and investor perspectives to our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as our Chief Financial Officer, a certified public accountant with extensive financial experience with public companies.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2014, we settled litigation related to a patent infringement case with Physicians Interactive Holdings, Inc. and Skyscape.com. All actions and claims have been released. We believe this settlement will reduce legal expenses moving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the second quarter of 2015 based on anticipated contractual and platform commitments being implemented.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pleased with the status of our current discussions with, and the value recognized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204"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OPTIMIZEHR – Our consulting practice focused on educating and working with pharmaceutical manufacturers on identifying, formulating, and implementing new eRx media strategies for promoting their products.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 Currently, this activity results in less than 10% of our revenue, but we believe this represents a significant growth opportunity for us.</w:t>
      </w:r>
    </w:p>
    <w:p>
      <w:pPr>
        <w:spacing w:after="0" w:line="191"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2014. We are also a cosponsor of the March 2015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SampleMD and OPTIMIZERx primarily through the following:</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in 2014, we hired a highly seasoned Sales and Marketing Executive, who has decades of global pharmaceutical marketing and sales experience at AstraZeneca and elsewhere, as our Eastern Vice President of Sales. We continue to be alert for qualified sales personnel and will expand our sales force as revenues continue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SampleMD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allows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were awarded a patent for our innovative SampleMD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We have also submitted and will be preparing additional filings to protect our intellectual property on forthcoming solutions that will further assist and support physicians, pharmacists and patients.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both licensed trademarks of 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12 full time employees and 1 part time employee, in addition to contracted programmers, as needed, through our established relationship with Simple eSolutions, a technical and programming resources partner. Additionally, we have one contracted business development individual targeting new EMR channel and pharma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2,886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May, 2015</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sales for the first three months of 2015 approached $1.5 million, a 15% increase over the same period in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$86,692 during the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 increased to in excess of $3.5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balance sheet continued to improve with working capital of approximately $3.2 million and a working capital ratio of 2.5 to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Excluding non-cash expenses, the first quarter of 2015 generated operating income of $47,762.</w:t>
      </w:r>
    </w:p>
    <w:p>
      <w:pPr>
        <w:spacing w:after="0" w:line="9" w:lineRule="exact"/>
        <w:rPr>
          <w:rFonts w:ascii="Arial" w:cs="Arial" w:eastAsia="Arial" w:hAnsi="Arial"/>
          <w:sz w:val="18"/>
          <w:szCs w:val="18"/>
          <w:color w:val="auto"/>
        </w:rPr>
      </w:pPr>
    </w:p>
    <w:p>
      <w:pPr>
        <w:jc w:val="both"/>
        <w:ind w:left="660" w:hanging="328"/>
        <w:spacing w:after="0" w:line="23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initially launched our SampleMD e-coupon solution in April of 2015 within Practice Fusion’s EMR and expect to be fully integrated by the end of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Quarter. We also have received commitment to begin running key campaigns through NextGen and anticipate impact beginning in June. Additionally, company is actively engaging and advancing with other leading platforms to position and prioritize integration of services.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2015, which generated significant leads for our sales force.</w:t>
      </w:r>
    </w:p>
    <w:p>
      <w:pPr>
        <w:spacing w:after="0" w:line="20" w:lineRule="exact"/>
        <w:rPr>
          <w:rFonts w:ascii="Arial" w:cs="Arial" w:eastAsia="Arial" w:hAnsi="Arial"/>
          <w:sz w:val="17"/>
          <w:szCs w:val="17"/>
          <w:color w:val="auto"/>
        </w:rPr>
      </w:pPr>
    </w:p>
    <w:p>
      <w:pPr>
        <w:ind w:left="660" w:hanging="328"/>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to add new brands in 2015 at both existing customers such as AstraZenica and Lilly, as well as at new customers such as Otsuka and Shionogi.</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continued to prove an outstanding return on investment on our pharmaceutical promotions through independent analytics firms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Completing major technical upgrades, including migration to Oracle database, to allow for very robust growth and performance.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generated positive cash flow from operations for the quarter and we expect to continue to do so in future quarters. We expect to achieve profitability in future quarters based on the expected escalation of revenues. We also generated positive income from operations, when excluding non-cash expenses, as set forth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8"/>
                <w:szCs w:val="18"/>
                <w:color w:val="auto"/>
                <w:w w:val="95"/>
              </w:rPr>
              <w:t>Quarter Ended March 31</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1,487,553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1,289,428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756,440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561,411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731,113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842,610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1,490,218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159,259</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498,744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683,351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991,474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tcPr>
          <w:p>
            <w:pPr>
              <w:spacing w:after="0"/>
              <w:rPr>
                <w:sz w:val="20"/>
                <w:szCs w:val="20"/>
                <w:color w:val="auto"/>
              </w:rPr>
            </w:pPr>
            <w:r>
              <w:rPr>
                <w:rFonts w:ascii="Arial" w:cs="Arial" w:eastAsia="Arial" w:hAnsi="Arial"/>
                <w:sz w:val="18"/>
                <w:szCs w:val="18"/>
                <w:color w:val="auto"/>
              </w:rPr>
              <w:t>Income from Operations excluding noncash expenses</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47,762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(263,457</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798"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798"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have launched our initial brands into Practice Fusion on a limited basis and are anticipating expanded rollout throughout the second quarter. We are also working extensively with our existing platforms to expand the reach of our eCoupon product to all of their providers, as well as increasing the utilization of the eCoupon functionality by their existing users.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finished the first quarter with a loss of approximately $100,000, a substantial reduction over the same period last year, and we generated positive cash flow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March 31, 2015 was approximately $1.5 million, an increase of 15% over the approximately $1.3 million from the same period in 2014. These increased revenues result from both increased pharmaceutical brands being promoted and expanded distribution channels. We expect continued quarter over quarter revenue increases for the balance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cost of sales, composed of revenue share expense, increased over the same period in 2014 as a result of both the revenue increases and the LDM settlement signed in March 2014. In addition, revenue share expense as a percentage of revenue in 2015 increased over the same period in 2014. In the three month period, revenue share expense increased to approximately 51% of sales in 2015 from approximately 44% in the same period in 2014.</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future quarters to continue at levels similar to that of the quarter ended March 31, 2015 as revenues subject to revenue share expense continues to increase as a percentage of our overall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from approximately $1.5 million for the three month period ended March 31, 2014 to approximately $850,000 for the same period in 2015, a decrease of approximately 43%. The detail by major category is reflected in the table below.</w:t>
      </w:r>
    </w:p>
    <w:p>
      <w:pPr>
        <w:spacing w:after="0" w:line="170"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395,199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349,170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73,420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60,617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25,962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21,115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43,150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29,601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79,668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58,906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50,414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32,134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33,058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33,403</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28,532</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38,800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763,019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650,381</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79,591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439,837</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842,610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1,490,218</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reasons for the decrease in operating expenses in 2015 are the lawsuit settlement in 2014, which resulted in a $400,000 payment to the plaintiff, and the reduction in stock-based compensation from 2014 to 2015. Ignoring those two items, operating expenses increased approximately 17%, however the majority of those increases related to things implemented after the first quarter of 2014, as opposed to new items in 2015. This would include new hires, as well as the addition of outside Directors and related compensation.</w:t>
      </w:r>
    </w:p>
    <w:p>
      <w:pPr>
        <w:sectPr>
          <w:pgSz w:w="11900" w:h="16838" w:orient="portrait"/>
          <w:cols w:equalWidth="0" w:num="1">
            <w:col w:w="11420"/>
          </w:cols>
          <w:pgMar w:left="240" w:top="233" w:right="239" w:bottom="69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69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expect our operating expenses to continue to increase as we further implement our business plan and expand our operations, however, we do not expect those increases to be significant in the near future. Professional fees are significantly affected by litigation, and we do have litigation in progress, causing those fees to fluctuate from quarter to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2015 was approximately $110,000 as compared to a loss of approximately $760,000 during the same period in 2014. The reasons for specific components are discussed above. Overall, the decreased loss is mostly explained by the decrease in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2014 was approximately $6.5 million, an increase of 39% from the year ended December 31, 2013.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2015.</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64% of our revenue in the year ended December 31, 2014 from our largest 5 customers, with approximately 20% of revenue from our largest customer. During the year ended December 31, 2013, approximately 75% of revenue came from our 5 largest customers, with 36% from our largest customer. While we are still dependent on major customers, as our customer base expands, we are becoming less dependent on any one customer.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composed of revenue share expense, increased in the year ended December 31, 2014, over the year ended December 31, 2013 as a result of the revenue increases. In addition, revenue share expense as a percentage of revenue in 2014 increased over 2013 from approximately 40% in the year ended December 31, 2013 to approximately 50% in the year ended December 31,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2015 to continue at levels similar to, or greater than, that of 2014 as revenues subject to revenue share expense continues to increase as a percentage of our overall revenues, and as a result of the LDM agreement being in effect for all of 2015, compared with only 10 months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$4.3 million for the year ended December 31, 2014 from approximately $3.1 million for the year ended December 31, 2013, an increase of approximately 40%.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1,477,450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1,320,065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242,169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72,487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100,077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87,201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264,340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189,566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131,637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2,735,514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2,562,579</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1,172,242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reasons for the increase in operating expenses in 2014 are stock-based compensation, and the lawsuit settlement, which resulted in a $400,000 payment to the plaintiff. Ignoring those items, operating expenses only increased approximately 7% compared with a revenue increase of approximately 40%. The lawsuit settlement is a one-time expense that is not expected to recur, although as discussed above, it affects revenue share expense on an ongoing basis. Stock based compensation expense increased significantly as a result of stock grants to two executive officers and option grants to new and existing employees. We expect that stock compensation expenses will be significantly reduced in 2015 as there are no stock grants scheduled, aside from some remaining shares that will come due in 2015 to our new directors under our Director Compensation Plan, and amortization of the stock granted to the previous CEO has been completed.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remaining operating expenses, there were a variety of increases, some of which were offset by savings in other areas. Salaries, wages and benefits increased as a result of additional staff. Professional fees decreased primarily as a result of the resolution of litigation in 2014, resulting in lower legal fees. Advertising and promotion increased as a result of our sponsorship of eCoupon conferences. Development and Maintenance increased as a result of expansion of our system capacity and capabilities.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finished the year ended December 31, 2014 with a loss of approximately $1.0 million, as compared to a loss of approximately $0.25 million during the year ended December 31, 2013. The reasons for specific components are discussed above. Overall, the increase in revenue and resulting gross margin was offset by increased operating expenses, however the majority of those increases were in non-recurring or non-cash items. The lawsuit settlement with LDM accounted for $400,000 of the increased loss. In addition, the 2014 loss included noncash items of approximately $1.2 million related to stock based compensation and approximately $264,000 of depreciation and amortization. Ignoring working capital changes, we had positive cash flow from operations of approximately $400,000 during the year ended December 31, 2014. In the year ended December 31, 2013, the loss of approximately $267,000 included non-cash expenses of only approximately $525,000 in stock-based compensation and $195,000 in depreciation and amortization, resulting in cash flow from operations (ignoring working capital items) of slightly over $450,000 in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the notes to the financial statements, we have restated our 2013 financial statements.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 These items were discovered as a result of their effect on the 2014 financial statements and a result, the quarterly financial statements also will be restated. Following are the restated income statement numbers for the first three quarters that will be used in the 2015 quarterly reports on Form 10-Q, as well as the fourth quarter amounts for information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Third</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37"/>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1,289,428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1,426,808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1,967,305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6,502,962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730,140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958,334</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971,649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728,017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696,668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861,087</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995,656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3,281,428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1,490,218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896,529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765,076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4,307,756</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(762,201)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(199,861)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(294,846)</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230,580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(1,026,328)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Loss before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total current assets of approximately $5.6 million, compared with current liabilities of approximately $2.4 million, resulting in working capital of approximately $3.2 million and a current ratio of approximately 2.3 to 1. This is a significant improvement over the working capital balance of approximately $350,000 and current ratio of 1.15 to 1 at December 31, 2013. The increase is largely due to the private offering we conducted in March of 2014, resulting in $2.8 million in working capital. We are currently generating positive cash flow from operations, ignoring working capital fluctuations, and we expect our working capital balance to continue to improve in future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activities used approximately $50,000 in the year ended December 31, 2014, however, this was significantly impacted by working capital items, primarily an increase in accounts receivable of approximately $589,000 as a result of increasing sales throughout the year. Without this, we would have had positive cash flow from operations and we expect positive cash flow from operations in future quarters in 2015 and for the full year in 2015. When ignoring working capital fluctuations, we generated positive cash flow from operations in both years as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$300,000 in the year ended December 31, 2013.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The redemption also alleviated further dilution in connection with dividends payable to the preferred shareholder. With the financing and cash on hand, we have sufficient cash to operate our business for more than the next twelve months and we do not anticipate the need to raise additional equity for operating purposes. There were no cash flows from financing activities in the same period in 2013.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2015, we had total current assets of approximately $5.4 million, compared with current liabilities of approximately $2.2 million, resulting in working capital of approximately $3.2 million and a current ratio of approximately 2.5 to 1, similar to the working capital of approximately $3.2 million and current ratio of 2.3 to 1 at December 31, 2014. We are currently generating positive cash flow from operations and we expect our working capital balance to continue to improve in future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activities generated approximately $87,000 in cash flow during the three months ended March 31, 2015, compared with cash generated of approximately $227,000 in the same period in 2014. This decrease is primarily the result of increased accounts receivable balances resulting from the increased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$23,000 in investing activities in the three months ended March 31, 2015 compared with approximately $109,000 in the same period in 2014.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cash flows from financing activities in 2015, however financing activities provided approximately $2.8 million during the three months ended March 31, 2014. This results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2014, however, we consider our critical accounting policies to be those related to revenue recognition, calculation of revenue share expense, stock-based compensation, capitalization and related amortization of intangible assets, and impairment of assets.</w:t>
      </w:r>
    </w:p>
    <w:p>
      <w:pPr>
        <w:sectPr>
          <w:pgSz w:w="11900" w:h="16838" w:orient="portrait"/>
          <w:cols w:equalWidth="0" w:num="1">
            <w:col w:w="11420"/>
          </w:cols>
          <w:pgMar w:left="240" w:top="233" w:right="239" w:bottom="1027"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027"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240" w:type="dxa"/>
            <w:vAlign w:val="bottom"/>
            <w:tcBorders>
              <w:top w:val="single" w:sz="8" w:color="auto"/>
            </w:tcBorders>
          </w:tcPr>
          <w:p>
            <w:pPr>
              <w:ind w:left="3800"/>
              <w:spacing w:after="0"/>
              <w:rPr>
                <w:sz w:val="20"/>
                <w:szCs w:val="20"/>
                <w:color w:val="auto"/>
              </w:rPr>
            </w:pPr>
            <w:r>
              <w:rPr>
                <w:rFonts w:ascii="Arial" w:cs="Arial" w:eastAsia="Arial" w:hAnsi="Arial"/>
                <w:sz w:val="18"/>
                <w:szCs w:val="18"/>
                <w:color w:val="auto"/>
              </w:rPr>
              <w:t>Quarter Ended</w:t>
            </w:r>
          </w:p>
        </w:tc>
        <w:tc>
          <w:tcPr>
            <w:tcW w:w="3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2013</w:t>
            </w:r>
          </w:p>
        </w:tc>
        <w:tc>
          <w:tcPr>
            <w:tcW w:w="3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655"/>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Quarter Ended March 31, 2015 (through March 20,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On June 1, 2015, the last sales price per share of our common stock was $1.02.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17, 2015, we had 22,912,319 shares of our common stock issued and outstanding, held by 326 shareholders of record at our transfer agent, with approximately 1,000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Equity Compensation Plans as of December 31, 2014</w:t>
            </w: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Securities to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4"/>
              </w:rPr>
              <w:t>be issued upon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840" w:type="dxa"/>
            <w:vAlign w:val="bottom"/>
          </w:tcPr>
          <w:p>
            <w:pPr>
              <w:ind w:left="3100"/>
              <w:spacing w:after="0"/>
              <w:rPr>
                <w:sz w:val="20"/>
                <w:szCs w:val="20"/>
                <w:color w:val="auto"/>
              </w:rPr>
            </w:pPr>
            <w:r>
              <w:rPr>
                <w:rFonts w:ascii="Arial" w:cs="Arial" w:eastAsia="Arial" w:hAnsi="Arial"/>
                <w:sz w:val="18"/>
                <w:szCs w:val="18"/>
                <w:b w:val="1"/>
                <w:bCs w:val="1"/>
                <w:color w:val="auto"/>
              </w:rPr>
              <w:t>Plan Category</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plans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6393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shareholders (2013 Equity Compensation Plan)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Plan not approved by shareholders (Other Equity Compensation (includes options and warrants))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0"/>
                <w:szCs w:val="20"/>
                <w:color w:val="auto"/>
              </w:rPr>
            </w:pPr>
          </w:p>
        </w:tc>
      </w:tr>
      <w:tr>
        <w:trPr>
          <w:trHeight w:val="215"/>
        </w:trPr>
        <w:tc>
          <w:tcPr>
            <w:tcW w:w="116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410,000</w:t>
            </w:r>
          </w:p>
        </w:tc>
        <w:tc>
          <w:tcPr>
            <w:tcW w:w="20" w:type="dxa"/>
            <w:vAlign w:val="bottom"/>
          </w:tcPr>
          <w:p>
            <w:pPr>
              <w:spacing w:after="0"/>
              <w:rPr>
                <w:sz w:val="18"/>
                <w:szCs w:val="18"/>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3,161,639</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410,000</w:t>
            </w:r>
          </w:p>
        </w:tc>
      </w:tr>
      <w:tr>
        <w:trPr>
          <w:trHeight w:val="21"/>
        </w:trPr>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440"/>
            <w:col w:w="39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Name and principal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196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Salary ($)</w:t>
            </w: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Shad Stastney</w:t>
            </w:r>
          </w:p>
        </w:tc>
        <w:tc>
          <w:tcPr>
            <w:tcW w:w="120" w:type="dxa"/>
            <w:vAlign w:val="bottom"/>
          </w:tcPr>
          <w:p>
            <w:pPr>
              <w:spacing w:after="0"/>
              <w:rPr>
                <w:sz w:val="17"/>
                <w:szCs w:val="17"/>
                <w:color w:val="auto"/>
              </w:rPr>
            </w:pPr>
          </w:p>
        </w:tc>
        <w:tc>
          <w:tcPr>
            <w:tcW w:w="12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2014</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0" w:type="dxa"/>
            <w:vAlign w:val="bottom"/>
          </w:tcPr>
          <w:p>
            <w:pPr>
              <w:spacing w:after="0"/>
              <w:rPr>
                <w:sz w:val="17"/>
                <w:szCs w:val="17"/>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Former Chairman,</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126,762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252,500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379,262</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President, CEO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183,750</w:t>
            </w:r>
          </w:p>
        </w:tc>
        <w:tc>
          <w:tcPr>
            <w:tcW w:w="1160" w:type="dxa"/>
            <w:vAlign w:val="bottom"/>
          </w:tcPr>
          <w:p>
            <w:pPr>
              <w:ind w:left="580"/>
              <w:spacing w:after="0"/>
              <w:rPr>
                <w:sz w:val="20"/>
                <w:szCs w:val="20"/>
                <w:color w:val="auto"/>
              </w:rPr>
            </w:pPr>
            <w:r>
              <w:rPr>
                <w:rFonts w:ascii="Arial" w:cs="Arial" w:eastAsia="Arial" w:hAnsi="Arial"/>
                <w:sz w:val="18"/>
                <w:szCs w:val="18"/>
                <w:color w:val="auto"/>
                <w:w w:val="86"/>
              </w:rPr>
              <w:t>100,000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394,969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678,719</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Chairman, Chief</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180,104</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19,151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199,255</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 Chief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Strategic Officer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327,938</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COO, Secretary,</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Treasurer and 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692,344</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w w:val="98"/>
              </w:rPr>
              <w:t>VP of Sales and Director</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160" w:type="dxa"/>
            <w:vAlign w:val="bottom"/>
          </w:tcPr>
          <w:p>
            <w:pPr>
              <w:ind w:left="680"/>
              <w:spacing w:after="0"/>
              <w:rPr>
                <w:sz w:val="20"/>
                <w:szCs w:val="20"/>
                <w:color w:val="auto"/>
              </w:rPr>
            </w:pPr>
            <w:r>
              <w:rPr>
                <w:rFonts w:ascii="Arial" w:cs="Arial" w:eastAsia="Arial" w:hAnsi="Arial"/>
                <w:sz w:val="18"/>
                <w:szCs w:val="18"/>
                <w:color w:val="auto"/>
                <w:w w:val="83"/>
              </w:rPr>
              <w:t>11,000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168,500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209,235</w:t>
            </w: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CFO</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the date of the Agreement, Mr. Stastney was no longer an officer or director of our company and all prior agreements with Mr. Stastney were terminated in their entirety;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Stastney received 500,000 shares of our common stock, half in September 2013 and the balance in January,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agreed to use our best efforts to register Mr. Stastney’s shares on Form S-8 by March 1, 2014 if such shares were eligible for S-8 registration;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Mr. Stastney $126,762 and his reasonable out of pocket expenses incurred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Stastney was involved with the company as a consultant for one year to assist us on financing activities, strategic and legal initiatives, and to help the transition with several ongoing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he is terminated with or without cause. Such payments would be due monthly at his then current salary rate for a period of 24 months following termination. On August 14, 2013, we amended the employment agreement with Mr. Harrell Pursuant to the terms and conditions of the Amendment to Employment Agreement with David Harrell:</w:t>
      </w:r>
    </w:p>
    <w:p>
      <w:pPr>
        <w:spacing w:after="0" w:line="15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Harrell’s contract also contains a provision providing for a 5% annual salary increase, which he waived on various occasions in the past. On August 14, 2013 we granted restricted stock awards under our 2013 Incentive Plan. Mr. David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16, 2014, Mr. Lester’s salary was increased to a base salary of $165,000, but no formal contract amendment was signed.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Lester was granted a restricted stock award of 50,000 shares under our 2013 Incentive Plan on January 9, 2014. This award was fully vested at the time of grant and was valued at $1.89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February 1, 2015, Mr. Lester’s employment contract was terminated. On that date, he moved from Chief Operating Officer to the role of Vice President, Channel Management and his new salary is $135,000 per year. He continues to be entitled to vacation, sick days, and the other benefits afforded to all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Pursuant to the terms and conditions of the Amendment to Employment Agreement with Terry Hamilton:</w:t>
      </w:r>
    </w:p>
    <w:p>
      <w:pPr>
        <w:spacing w:after="0" w:line="1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but no formal contract amendment was signed. His salary remains at that level as of the date of this filing.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 As of April 1, 2015, Mr. Baker’s base salary will be increased to $150,000, but no formal contract amendment has been signed.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color w:val="auto"/>
              </w:rPr>
              <w:t>STOCK AWARDS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or 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That Have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37"/>
        </w:trPr>
        <w:tc>
          <w:tcPr>
            <w:tcW w:w="1920" w:type="dxa"/>
            <w:vAlign w:val="bottom"/>
            <w:gridSpan w:val="3"/>
          </w:tcPr>
          <w:p>
            <w:pPr>
              <w:spacing w:after="0"/>
              <w:rPr>
                <w:sz w:val="20"/>
                <w:szCs w:val="20"/>
                <w:color w:val="auto"/>
              </w:rPr>
            </w:pPr>
            <w:r>
              <w:rPr>
                <w:rFonts w:ascii="Arial" w:cs="Arial" w:eastAsia="Arial" w:hAnsi="Arial"/>
                <w:sz w:val="18"/>
                <w:szCs w:val="18"/>
                <w:color w:val="auto"/>
              </w:rPr>
              <w:t>Name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Unexercisable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xml:space="preserve">Vested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Vested (#)</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 (#)</w:t>
            </w: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4/26/15</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Harrell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49,000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5/19/19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122,000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5"/>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w w:val="84"/>
              </w:rPr>
              <w:t>9,986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11,827</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21,813</w:t>
            </w:r>
          </w:p>
        </w:tc>
        <w:tc>
          <w:tcPr>
            <w:tcW w:w="20" w:type="dxa"/>
            <w:vAlign w:val="bottom"/>
          </w:tcPr>
          <w:p>
            <w:pPr>
              <w:spacing w:after="0"/>
              <w:rPr>
                <w:sz w:val="17"/>
                <w:szCs w:val="17"/>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9,579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 Both Dr. Pinney and Mr. Halas joined the Board in August,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F-1 and F-2</w:t>
      </w:r>
      <w:r>
        <w:rPr>
          <w:sz w:val="20"/>
          <w:szCs w:val="20"/>
          <w:color w:val="auto"/>
        </w:rPr>
        <w:tab/>
      </w:r>
      <w:hyperlink w:anchor="page47">
        <w:r>
          <w:rPr>
            <w:rFonts w:ascii="Arial" w:cs="Arial" w:eastAsia="Arial" w:hAnsi="Arial"/>
            <w:sz w:val="16"/>
            <w:szCs w:val="16"/>
            <w:u w:val="single" w:color="auto"/>
            <w:color w:val="0000EE"/>
          </w:rPr>
          <w:t>Reports of Independent Registered Public Accounting Firms;</w:t>
        </w:r>
      </w:hyperlink>
    </w:p>
    <w:tbl>
      <w:tblPr>
        <w:tblLayout w:type="fixed"/>
        <w:tblInd w:w="0" w:type="dxa"/>
        <w:tblCellMar>
          <w:top w:w="0" w:type="dxa"/>
          <w:left w:w="0" w:type="dxa"/>
          <w:bottom w:w="0" w:type="dxa"/>
          <w:right w:w="0" w:type="dxa"/>
        </w:tblCellMar>
      </w:tblPr>
      <w:tr>
        <w:trPr>
          <w:trHeight w:val="199"/>
        </w:trPr>
        <w:tc>
          <w:tcPr>
            <w:tcW w:w="1040" w:type="dxa"/>
            <w:vAlign w:val="bottom"/>
          </w:tcPr>
          <w:p>
            <w:pPr>
              <w:spacing w:after="0" w:line="199" w:lineRule="exact"/>
              <w:rPr>
                <w:sz w:val="20"/>
                <w:szCs w:val="20"/>
                <w:color w:val="auto"/>
              </w:rPr>
            </w:pPr>
            <w:r>
              <w:rPr>
                <w:rFonts w:ascii="Arial" w:cs="Arial" w:eastAsia="Arial" w:hAnsi="Arial"/>
                <w:sz w:val="18"/>
                <w:szCs w:val="18"/>
                <w:color w:val="auto"/>
              </w:rPr>
              <w:t>F-3</w:t>
            </w:r>
          </w:p>
        </w:tc>
        <w:tc>
          <w:tcPr>
            <w:tcW w:w="4760" w:type="dxa"/>
            <w:vAlign w:val="bottom"/>
            <w:tcBorders>
              <w:bottom w:val="single" w:sz="8" w:color="0000EE"/>
            </w:tcBorders>
            <w:gridSpan w:val="2"/>
          </w:tcPr>
          <w:p>
            <w:pPr>
              <w:spacing w:after="0" w:line="199"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Balance Sheets as of December 31, 2014 and 2013;</w:t>
              </w:r>
            </w:hyperlink>
          </w:p>
        </w:tc>
        <w:tc>
          <w:tcPr>
            <w:tcW w:w="5620" w:type="dxa"/>
            <w:vAlign w:val="bottom"/>
            <w:gridSpan w:val="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F-4</w:t>
            </w:r>
          </w:p>
        </w:tc>
        <w:tc>
          <w:tcPr>
            <w:tcW w:w="1038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the years ended December 31, 2014 and 2013;</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F-5</w:t>
            </w:r>
          </w:p>
        </w:tc>
        <w:tc>
          <w:tcPr>
            <w:tcW w:w="6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 of Stockholders’ Equity as of December 31, 2014;</w:t>
              </w:r>
            </w:hyperlink>
          </w:p>
        </w:tc>
        <w:tc>
          <w:tcPr>
            <w:tcW w:w="392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F-7</w:t>
            </w:r>
          </w:p>
        </w:tc>
        <w:tc>
          <w:tcPr>
            <w:tcW w:w="1038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years ended December 31, 2014 and 2013; and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F-8</w:t>
            </w:r>
          </w:p>
        </w:tc>
        <w:tc>
          <w:tcPr>
            <w:tcW w:w="6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Notes to Financial Statements.</w:t>
              </w:r>
            </w:hyperlink>
          </w:p>
        </w:tc>
        <w:tc>
          <w:tcPr>
            <w:tcW w:w="35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11420" w:type="dxa"/>
            <w:vAlign w:val="bottom"/>
            <w:gridSpan w:val="10"/>
          </w:tcPr>
          <w:p>
            <w:pPr>
              <w:spacing w:after="0"/>
              <w:rPr>
                <w:sz w:val="20"/>
                <w:szCs w:val="20"/>
                <w:color w:val="auto"/>
              </w:rPr>
            </w:pPr>
            <w:r>
              <w:rPr>
                <w:rFonts w:ascii="Arial" w:cs="Arial" w:eastAsia="Arial" w:hAnsi="Arial"/>
                <w:sz w:val="18"/>
                <w:szCs w:val="18"/>
                <w:b w:val="1"/>
                <w:bCs w:val="1"/>
                <w:color w:val="auto"/>
              </w:rPr>
              <w:t>Unaudited Financial Statements:</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F-24</w:t>
            </w:r>
          </w:p>
        </w:tc>
        <w:tc>
          <w:tcPr>
            <w:tcW w:w="550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Consolidated Balance Sheets as of March 31, 2015 and December 31, 2014;</w:t>
              </w:r>
            </w:hyperlink>
          </w:p>
        </w:tc>
        <w:tc>
          <w:tcPr>
            <w:tcW w:w="4880" w:type="dxa"/>
            <w:vAlign w:val="bottom"/>
            <w:gridSpan w:val="5"/>
          </w:tcPr>
          <w:p>
            <w:pPr>
              <w:spacing w:after="0"/>
              <w:rPr>
                <w:sz w:val="24"/>
                <w:szCs w:val="24"/>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F- 25</w:t>
            </w:r>
          </w:p>
        </w:tc>
        <w:tc>
          <w:tcPr>
            <w:tcW w:w="10380" w:type="dxa"/>
            <w:vAlign w:val="bottom"/>
            <w:gridSpan w:val="9"/>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Consolidated Statements of Operations for the three months ended March 31, 2015 and 2014;</w:t>
              </w:r>
            </w:hyperlink>
          </w:p>
        </w:tc>
      </w:tr>
      <w:tr>
        <w:trPr>
          <w:trHeight w:val="20"/>
        </w:trPr>
        <w:tc>
          <w:tcPr>
            <w:tcW w:w="1040" w:type="dxa"/>
            <w:vAlign w:val="bottom"/>
          </w:tcPr>
          <w:p>
            <w:pPr>
              <w:spacing w:after="0" w:line="20" w:lineRule="exact"/>
              <w:rPr>
                <w:sz w:val="1"/>
                <w:szCs w:val="1"/>
                <w:color w:val="auto"/>
              </w:rPr>
            </w:pPr>
          </w:p>
        </w:tc>
        <w:tc>
          <w:tcPr>
            <w:tcW w:w="674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F- 26</w:t>
            </w:r>
          </w:p>
        </w:tc>
        <w:tc>
          <w:tcPr>
            <w:tcW w:w="10380" w:type="dxa"/>
            <w:vAlign w:val="bottom"/>
            <w:gridSpan w:val="9"/>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Cash Flows for the three months ended March 31, 2015 and 2014; and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F- 27</w:t>
            </w:r>
          </w:p>
        </w:tc>
        <w:tc>
          <w:tcPr>
            <w:tcW w:w="71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Notes to Financial Statements.</w:t>
              </w:r>
            </w:hyperlink>
          </w:p>
        </w:tc>
        <w:tc>
          <w:tcPr>
            <w:tcW w:w="3280" w:type="dxa"/>
            <w:vAlign w:val="bottom"/>
          </w:tcPr>
          <w:p>
            <w:pPr>
              <w:spacing w:after="0"/>
              <w:rPr>
                <w:sz w:val="17"/>
                <w:szCs w:val="17"/>
                <w:color w:val="auto"/>
              </w:rPr>
            </w:pPr>
          </w:p>
        </w:tc>
      </w:tr>
      <w:tr>
        <w:trPr>
          <w:trHeight w:val="676"/>
        </w:trPr>
        <w:tc>
          <w:tcPr>
            <w:tcW w:w="1040" w:type="dxa"/>
            <w:vAlign w:val="bottom"/>
            <w:tcBorders>
              <w:bottom w:val="single" w:sz="8" w:color="auto"/>
            </w:tcBorders>
          </w:tcPr>
          <w:p>
            <w:pPr>
              <w:spacing w:after="0"/>
              <w:rPr>
                <w:sz w:val="24"/>
                <w:szCs w:val="24"/>
                <w:color w:val="auto"/>
              </w:rPr>
            </w:pPr>
          </w:p>
        </w:tc>
        <w:tc>
          <w:tcPr>
            <w:tcW w:w="3200" w:type="dxa"/>
            <w:vAlign w:val="bottom"/>
            <w:tcBorders>
              <w:top w:val="single" w:sz="8" w:color="0000FF"/>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before the effects of the adjustments for the correction of the errors described in Note 17, the accompanying consolidated balance sheet of OptimizeRx Corporation as of December 31, 2013, and the related consolidated statements of operations, stockholders’ equity, and cash flows for the year then ended (the 2013 financial statements before the effects of the adjustments discussed in Note 17 have been withdrawn and are not presented herein). The 2013 financial statements are the responsibility of the Company’s management. Our responsibility is to express an opinion on these financial statements based on our audit.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except for the errors described in Note 17, the consolidated financial statements referred to above present fairly, in all material respects, the financial position of OptimizeRx Corporation as of December 31, 2013, and the results of its operations and cash flows for the year then ended, in conformity with accounting principles generally accepted in the United States of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for the correction of the errors described in Note 17 and, accordingly, do not express an opinion or any other form of assurance about whether such adjustments are appropriate and have been properly applied. Those adjustments were audited by KLJ &amp; Associates, LLP.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701040</wp:posOffset>
            </wp:positionV>
            <wp:extent cx="3439160" cy="823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discussed in Note 17 to the financial statements, errors resulting in an understatement of deferred revenue, liabilities, and stock compensation expense were discovered by management. Accordingly, adjustments have been made to correct the error.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74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460" w:type="dxa"/>
            <w:vAlign w:val="bottom"/>
          </w:tcPr>
          <w:p>
            <w:pPr>
              <w:jc w:val="center"/>
              <w:ind w:left="1310"/>
              <w:spacing w:after="0"/>
              <w:rPr>
                <w:sz w:val="20"/>
                <w:szCs w:val="20"/>
                <w:color w:val="auto"/>
              </w:rPr>
            </w:pPr>
            <w:r>
              <w:rPr>
                <w:rFonts w:ascii="Arial" w:cs="Arial" w:eastAsia="Arial" w:hAnsi="Arial"/>
                <w:sz w:val="18"/>
                <w:szCs w:val="18"/>
                <w:b w:val="1"/>
                <w:bCs w:val="1"/>
                <w:color w:val="auto"/>
              </w:rPr>
              <w:t>OPTIMIZERx CORPORATION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6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Consolidated Balance Sheet as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December 31, 2014 and 2013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7460" w:type="dxa"/>
            <w:vAlign w:val="bottom"/>
          </w:tcPr>
          <w:p>
            <w:pPr>
              <w:jc w:val="center"/>
              <w:ind w:right="1230"/>
              <w:spacing w:after="0" w:line="201"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3,446,973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2,100,381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gridSpan w:val="2"/>
          </w:tcPr>
          <w:p>
            <w:pPr>
              <w:spacing w:after="0" w:line="201"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930,854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Web development costs,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504,643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Security deposit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460" w:type="dxa"/>
            <w:vAlign w:val="bottom"/>
            <w:vMerge w:val="restart"/>
          </w:tcPr>
          <w:p>
            <w:pPr>
              <w:jc w:val="center"/>
              <w:ind w:right="123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200,372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1,502,761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120,130</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gridSpan w:val="2"/>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w w:val="89"/>
              </w:rPr>
              <w:t>Preferred stock, $.001 par value, 10,000,000 shares authorized, 0 and 65 shares issued and outstanding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w w:val="93"/>
              </w:rPr>
              <w:t>Common stock, $.001 par value, 500,000,000 shares authorized, 22,867,319 and 14,817,496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outstanding at December 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27,595,609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Stock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963,063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Deferred stock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(26,124,750)</w:t>
            </w: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(25,099,357)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rPr>
              <w:t>OPTIMIZERx CORPORATION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Consolidated Statements of Operations for the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Ended December 31, 2014 and 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40" w:type="dxa"/>
            <w:vAlign w:val="bottom"/>
            <w:gridSpan w:val="2"/>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FULLY 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40" w:type="dxa"/>
            <w:vAlign w:val="bottom"/>
            <w:tcBorders>
              <w:bottom w:val="single" w:sz="8" w:color="CCEEFF"/>
            </w:tcBorders>
            <w:gridSpan w:val="2"/>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w w:val="93"/>
              </w:rPr>
              <w:t>NET LOSS PER SHARE: BASIC AND DILUTED (no separate per share amount shown because loss is antidilutive)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-4090035</wp:posOffset>
            </wp:positionV>
            <wp:extent cx="7246620" cy="4064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2013 (restated)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January 1,</w:t>
            </w: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14,232,496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$ 20,058,051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6,164,666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(24,832,067)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1,404,882</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2"/>
                <w:szCs w:val="12"/>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consulting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(59,134)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87,278</w:t>
            </w:r>
          </w:p>
        </w:tc>
        <w:tc>
          <w:tcPr>
            <w:tcW w:w="100" w:type="dxa"/>
            <w:vAlign w:val="bottom"/>
          </w:tcPr>
          <w:p>
            <w:pPr>
              <w:spacing w:after="0"/>
              <w:rPr>
                <w:sz w:val="12"/>
                <w:szCs w:val="12"/>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105,420</w:t>
            </w:r>
          </w:p>
        </w:tc>
        <w:tc>
          <w:tcPr>
            <w:tcW w:w="100" w:type="dxa"/>
            <w:vAlign w:val="bottom"/>
          </w:tcPr>
          <w:p>
            <w:pPr>
              <w:spacing w:after="0"/>
              <w:rPr>
                <w:sz w:val="12"/>
                <w:szCs w:val="12"/>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severance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(505,000)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r>
      <w:tr>
        <w:trPr>
          <w:trHeight w:val="130"/>
        </w:trPr>
        <w:tc>
          <w:tcPr>
            <w:tcW w:w="1460" w:type="dxa"/>
            <w:vAlign w:val="bottom"/>
          </w:tcPr>
          <w:p>
            <w:pPr>
              <w:ind w:left="180"/>
              <w:spacing w:after="0" w:line="130" w:lineRule="exact"/>
              <w:rPr>
                <w:sz w:val="20"/>
                <w:szCs w:val="20"/>
                <w:color w:val="auto"/>
              </w:rPr>
            </w:pPr>
            <w:r>
              <w:rPr>
                <w:rFonts w:ascii="Arial" w:cs="Arial" w:eastAsia="Arial" w:hAnsi="Arial"/>
                <w:sz w:val="14"/>
                <w:szCs w:val="14"/>
                <w:color w:val="auto"/>
              </w:rPr>
              <w:t>for correction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ind w:left="180"/>
              <w:spacing w:after="0"/>
              <w:rPr>
                <w:sz w:val="20"/>
                <w:szCs w:val="20"/>
                <w:color w:val="auto"/>
              </w:rPr>
            </w:pPr>
            <w:r>
              <w:rPr>
                <w:rFonts w:ascii="Arial" w:cs="Arial" w:eastAsia="Arial" w:hAnsi="Arial"/>
                <w:sz w:val="14"/>
                <w:szCs w:val="14"/>
                <w:color w:val="auto"/>
              </w:rPr>
              <w:t>prior issue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for</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expired warrants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(1,910,002)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1,910,002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330,192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330,192</w:t>
            </w:r>
          </w:p>
        </w:tc>
        <w:tc>
          <w:tcPr>
            <w:tcW w:w="100" w:type="dxa"/>
            <w:vAlign w:val="bottom"/>
          </w:tcPr>
          <w:p>
            <w:pPr>
              <w:spacing w:after="0"/>
              <w:rPr>
                <w:sz w:val="14"/>
                <w:szCs w:val="14"/>
                <w:color w:val="auto"/>
              </w:rPr>
            </w:pPr>
          </w:p>
        </w:tc>
      </w:tr>
      <w:tr>
        <w:trPr>
          <w:trHeight w:val="182"/>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(267,290)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(267,290)</w:t>
            </w:r>
          </w:p>
        </w:tc>
      </w:tr>
      <w:tr>
        <w:trPr>
          <w:trHeight w:val="103"/>
        </w:trPr>
        <w:tc>
          <w:tcPr>
            <w:tcW w:w="1460" w:type="dxa"/>
            <w:vAlign w:val="bottom"/>
            <w:tcBorders>
              <w:top w:val="single" w:sz="8" w:color="CCEEFF"/>
            </w:tcBorders>
          </w:tcPr>
          <w:p>
            <w:pPr>
              <w:spacing w:after="0" w:line="104" w:lineRule="exact"/>
              <w:rPr>
                <w:sz w:val="20"/>
                <w:szCs w:val="20"/>
                <w:color w:val="auto"/>
              </w:rPr>
            </w:pPr>
            <w:r>
              <w:rPr>
                <w:rFonts w:ascii="Arial" w:cs="Arial" w:eastAsia="Arial" w:hAnsi="Arial"/>
                <w:sz w:val="11"/>
                <w:szCs w:val="11"/>
                <w:color w:val="auto"/>
              </w:rPr>
              <w:t>Balance, December</w:t>
            </w: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4"/>
                <w:szCs w:val="14"/>
                <w:color w:val="auto"/>
              </w:rPr>
              <w:t>31, 2013 (restated)</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14,817,496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14,817</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$ 18,148,049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207" w:lineRule="exact"/>
              <w:rPr>
                <w:sz w:val="20"/>
                <w:szCs w:val="20"/>
                <w:color w:val="auto"/>
              </w:rPr>
            </w:pPr>
            <w:r>
              <w:rPr>
                <w:rFonts w:ascii="Arial" w:cs="Arial" w:eastAsia="Arial" w:hAnsi="Arial"/>
                <w:sz w:val="13"/>
                <w:szCs w:val="13"/>
                <w:color w:val="auto"/>
              </w:rPr>
              <w:t>(270,462</w:t>
            </w:r>
            <w:r>
              <w:rPr>
                <w:rFonts w:ascii="Arial" w:cs="Arial" w:eastAsia="Arial" w:hAnsi="Arial"/>
                <w:sz w:val="24"/>
                <w:szCs w:val="24"/>
                <w:color w:val="auto"/>
                <w:vertAlign w:val="superscript"/>
              </w:rPr>
              <w:t>)</w:t>
            </w:r>
          </w:p>
        </w:tc>
        <w:tc>
          <w:tcPr>
            <w:tcW w:w="1040" w:type="dxa"/>
            <w:vAlign w:val="bottom"/>
            <w:gridSpan w:val="2"/>
          </w:tcPr>
          <w:p>
            <w:pPr>
              <w:jc w:val="right"/>
              <w:ind w:right="180"/>
              <w:spacing w:after="0" w:line="207" w:lineRule="exact"/>
              <w:rPr>
                <w:sz w:val="20"/>
                <w:szCs w:val="20"/>
                <w:color w:val="auto"/>
              </w:rPr>
            </w:pPr>
            <w:r>
              <w:rPr>
                <w:rFonts w:ascii="Arial" w:cs="Arial" w:eastAsia="Arial" w:hAnsi="Arial"/>
                <w:sz w:val="13"/>
                <w:szCs w:val="13"/>
                <w:color w:val="auto"/>
                <w:w w:val="98"/>
              </w:rPr>
              <w:t>$ (25,099,357</w:t>
            </w:r>
            <w:r>
              <w:rPr>
                <w:rFonts w:ascii="Arial" w:cs="Arial" w:eastAsia="Arial" w:hAnsi="Arial"/>
                <w:sz w:val="24"/>
                <w:szCs w:val="24"/>
                <w:color w:val="auto"/>
                <w:w w:val="98"/>
                <w:vertAlign w:val="superscript"/>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1,668,202</w:t>
            </w:r>
          </w:p>
        </w:tc>
        <w:tc>
          <w:tcPr>
            <w:tcW w:w="10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21526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(restated)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14,817,496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18,148,049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(25,099,357)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1,668,202</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272,804</w:t>
            </w: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consultants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(16,935)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cash</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8,408,699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8,795,032</w:t>
            </w:r>
          </w:p>
        </w:tc>
      </w:tr>
      <w:tr>
        <w:trPr>
          <w:trHeight w:val="130"/>
        </w:trPr>
        <w:tc>
          <w:tcPr>
            <w:tcW w:w="1420" w:type="dxa"/>
            <w:vAlign w:val="bottom"/>
          </w:tcPr>
          <w:p>
            <w:pPr>
              <w:ind w:left="180"/>
              <w:spacing w:after="0" w:line="130" w:lineRule="exact"/>
              <w:rPr>
                <w:sz w:val="20"/>
                <w:szCs w:val="20"/>
                <w:color w:val="auto"/>
              </w:rPr>
            </w:pPr>
            <w:r>
              <w:rPr>
                <w:rFonts w:ascii="Arial" w:cs="Arial" w:eastAsia="Arial" w:hAnsi="Arial"/>
                <w:sz w:val="14"/>
                <w:szCs w:val="14"/>
                <w:color w:val="auto"/>
              </w:rPr>
              <w:t>for warrant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ind w:left="180"/>
              <w:spacing w:after="0"/>
              <w:rPr>
                <w:sz w:val="20"/>
                <w:szCs w:val="20"/>
                <w:color w:val="auto"/>
              </w:rPr>
            </w:pPr>
            <w:r>
              <w:rPr>
                <w:rFonts w:ascii="Arial" w:cs="Arial" w:eastAsia="Arial" w:hAnsi="Arial"/>
                <w:sz w:val="14"/>
                <w:szCs w:val="14"/>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693,687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Issue warrants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equity raise</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1,110,211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(1,110,211)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Issue stock rights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officers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Reclassify expired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redeemed</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(16,410,832)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16,410,832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287,397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287,397</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 shares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(5,999,104)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(6,000,000)</w:t>
            </w:r>
          </w:p>
        </w:tc>
      </w:tr>
      <w:tr>
        <w:trPr>
          <w:trHeight w:val="169"/>
        </w:trPr>
        <w:tc>
          <w:tcPr>
            <w:tcW w:w="1420" w:type="dxa"/>
            <w:vAlign w:val="bottom"/>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(1,025,393)</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(1,025,393)</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5"/>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22,867,319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2,153,295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27,595,609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207" w:lineRule="exact"/>
              <w:rPr>
                <w:sz w:val="20"/>
                <w:szCs w:val="20"/>
                <w:color w:val="auto"/>
              </w:rPr>
            </w:pPr>
            <w:r>
              <w:rPr>
                <w:rFonts w:ascii="Arial" w:cs="Arial" w:eastAsia="Arial" w:hAnsi="Arial"/>
                <w:sz w:val="13"/>
                <w:szCs w:val="13"/>
                <w:color w:val="auto"/>
                <w:w w:val="98"/>
              </w:rPr>
              <w:t>$ (26,124,750</w:t>
            </w:r>
            <w:r>
              <w:rPr>
                <w:rFonts w:ascii="Arial" w:cs="Arial" w:eastAsia="Arial" w:hAnsi="Arial"/>
                <w:sz w:val="24"/>
                <w:szCs w:val="24"/>
                <w:color w:val="auto"/>
                <w:w w:val="98"/>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4,610,084</w:t>
            </w: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2907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rPr>
              <w:t>OPTIMIZERx CORPORATION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Consolidated Statements of Cash Flows for the Years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Ended December 31, 2014 and 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Loss on disposal of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899,438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134,046</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0"/>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0" w:type="dxa"/>
            <w:vAlign w:val="bottom"/>
          </w:tcPr>
          <w:p>
            <w:pPr>
              <w:spacing w:after="0"/>
              <w:rPr>
                <w:sz w:val="1"/>
                <w:szCs w:val="1"/>
                <w:color w:val="auto"/>
              </w:rPr>
            </w:pPr>
          </w:p>
        </w:tc>
      </w:tr>
      <w:tr>
        <w:trPr>
          <w:trHeight w:val="237"/>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Web development costs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8,795,032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280" w:type="dxa"/>
            <w:vAlign w:val="bottom"/>
            <w:gridSpan w:val="2"/>
          </w:tcPr>
          <w:p>
            <w:pPr>
              <w:ind w:left="420"/>
              <w:spacing w:after="0"/>
              <w:rPr>
                <w:sz w:val="20"/>
                <w:szCs w:val="20"/>
                <w:color w:val="auto"/>
              </w:rPr>
            </w:pPr>
            <w:r>
              <w:rPr>
                <w:rFonts w:ascii="Arial" w:cs="Arial" w:eastAsia="Arial" w:hAnsi="Arial"/>
                <w:sz w:val="18"/>
                <w:szCs w:val="18"/>
                <w:color w:val="auto"/>
              </w:rPr>
              <w:t>Redemption of common and preferred stock</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833,980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284,263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gridSpan w:val="2"/>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246620" cy="5608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 care industry. Our objective is to bring better access to better care through connecting patients, physicians and pharmaceutical manufacturers through technology. Originally defined as a marketing and advertising company through our consumer website, we have matured into a technology solutions provider as we launched our direct to physician solution, SampleMD. SampleMD allows physicians to search, print and send available sample trial vouchers and/or co-pay coupons on behalf of their patients. The SampleMD solution is integrated into the physician’s ePrescribing or Electronic Medical Records applications, but could also be a stand-alone desktop application. OptimizeRx solutions provide pharmaceutical manufacturers a direct to physician channel for communicating and promoting their products. It provides health 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incorporated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which is a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 capitalized companies, historically there has been very little bad debt expense. Bad debt expense was $0 for each of the years ended December 31, 2014 and 2013. The allowance for doubtful accounts was $0 as of both December 31,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capital assets are being depreciated over their estimated useful lives of three to seven years using the straight-line method of depreciation for book purposes.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generated from our SampleMD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setup fees that are required for integrating client offerings and campaigns into the SampleMD content delivery system and network upon completion of the setup and launch of the client’s campaign within the SampleMD system. As the eCoupons and or eVouchers are distributed through the SampleMD platform and network of channel partners (a transaction), these transactions are recorded and revenue is recognized at the time of distribution. Revenue for transactions can be realized based on a price per distribution or a price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on occasion has also resold products and or services that are available through our channel partners, and that is complementary to our core businesses and client base. In these instances net revenue is recognized based on the commission based revenue split that the company receives.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revenues generated or $0.37 per eCoupon distributed.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expenses research and development expenses as incurred. Our research efforts are focused on understanding the market dynamics that have the potential to affect the business in both the short and long term. Our primary goal is to help patients better afford and access the medicines their doctor prescribes, as well as other healthcare products and services they need. Based on this, the Company continually seeks better ways to meet this mission through improved technology, better user experiences and new ways to engage industries to provide new support for patients needing their products, as well seeking new services and solutions to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 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0.90%-1.44%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 years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 - 138%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 - 171%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30,607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771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$5,933 and $5,628 for the years ended December 31, 2014 and 2013,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602,517</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904,710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(440,641)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3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504,643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404,986</w:t>
            </w:r>
          </w:p>
        </w:tc>
        <w:tc>
          <w:tcPr>
            <w:tcW w:w="0" w:type="dxa"/>
            <w:vAlign w:val="bottom"/>
          </w:tcPr>
          <w:p>
            <w:pPr>
              <w:spacing w:after="0"/>
              <w:rPr>
                <w:sz w:val="1"/>
                <w:szCs w:val="1"/>
                <w:color w:val="auto"/>
              </w:rPr>
            </w:pPr>
          </w:p>
        </w:tc>
      </w:tr>
      <w:tr>
        <w:trPr>
          <w:trHeight w:val="21"/>
        </w:trPr>
        <w:tc>
          <w:tcPr>
            <w:tcW w:w="5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09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The OptimizeRx web-based technology was fully impaired in 2010 and has no remaining carrying value. Amortization expense for the web-based technology costs was $192,760 and $130,289 for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26, 2010, the Company acquired the technical contributions and assignment of all exclusive rights to and for the SampleMD patent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2014 and 2013: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(260,285)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(194,638)</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930,854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885,950</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246620" cy="909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$65,647 and $57,874 for the years ended December 31, 2014 and 2013,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or redemption of coupons, or other services, which include payment in advance. The payments are not recorded as revenue until the revenue is earned under its revenue recognition policy discussed in Note 1. Deferred revenue was $120,130 and $226,272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2014. There were 22,867,319 and 14,817,496 common shares issued and outstanding at December 31, 2014 and 2013,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 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the former CEO of the Company. The Company agreed to issue 500,000 shares of common stock, 250,000 shares immediately and 250,000 by January 1, 2014. The shares have been issued and the Company recognized the entire issuance in the December 31, 2013 shares outstanding. The shares were valued at $505,000 and $174,808 of that amount remained as deferred stock compensation as of December 31, 2013, but has been fully amortized to expenses as of December 31, 2014.</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an executive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the Company adopted a Director Compensation plan for outside Directors. In connection with this plan, 19,565 shares were granted with a total value of $23,166. A total of 7,065 shares were issued in 2014 and 12,500 shares were included in stock payable at December 31, 2014 and issued in January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10, all of the Series A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and approved by the shareholders of the Company in June 2013. A total of 1,500,000 shares were initially reserved for issuance under the plan, of which 552,500 options have been granted, 537,500 shares have been granted, and 410,000 remain available for grant.</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2014 and 2013, was $272,804 and $94,998,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rPr>
              <w:t>OPTIMIZERx CORPORATION</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540" w:type="dxa"/>
            <w:vAlign w:val="bottom"/>
          </w:tcPr>
          <w:p>
            <w:pPr>
              <w:jc w:val="center"/>
              <w:ind w:left="1250"/>
              <w:spacing w:after="0"/>
              <w:rPr>
                <w:sz w:val="20"/>
                <w:szCs w:val="20"/>
                <w:color w:val="auto"/>
              </w:rPr>
            </w:pPr>
            <w:r>
              <w:rPr>
                <w:rFonts w:ascii="Arial" w:cs="Arial" w:eastAsia="Arial" w:hAnsi="Arial"/>
                <w:sz w:val="18"/>
                <w:szCs w:val="18"/>
                <w:b w:val="1"/>
                <w:bCs w:val="1"/>
                <w:color w:val="auto"/>
                <w:w w:val="96"/>
              </w:rPr>
              <w:t>DECEMBER 31, 2014</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NOTE 11 – STOCK OPTIONS AND WARRANTS (continued)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2014 and 2013: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Granted - 2013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- 2013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color w:val="auto"/>
              </w:rPr>
              <w:t>Expired – 2013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8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gridSpan w:val="2"/>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494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primarily in connection with capital raising activities.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jc w:val="right"/>
              <w:ind w:right="1200"/>
              <w:spacing w:after="0"/>
              <w:rPr>
                <w:sz w:val="20"/>
                <w:szCs w:val="20"/>
                <w:color w:val="auto"/>
              </w:rPr>
            </w:pPr>
            <w:r>
              <w:rPr>
                <w:rFonts w:ascii="Arial" w:cs="Arial" w:eastAsia="Arial" w:hAnsi="Arial"/>
                <w:sz w:val="18"/>
                <w:szCs w:val="18"/>
                <w:color w:val="auto"/>
              </w:rPr>
              <w:t>Number of Warrants</w:t>
            </w:r>
          </w:p>
        </w:tc>
        <w:tc>
          <w:tcPr>
            <w:tcW w:w="140" w:type="dxa"/>
            <w:vAlign w:val="bottom"/>
          </w:tcPr>
          <w:p>
            <w:pPr>
              <w:spacing w:after="0"/>
              <w:rPr>
                <w:sz w:val="20"/>
                <w:szCs w:val="20"/>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Exercise Price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10/5/2017</w:t>
            </w:r>
          </w:p>
        </w:tc>
      </w:tr>
      <w:tr>
        <w:trPr>
          <w:trHeight w:val="216"/>
        </w:trPr>
        <w:tc>
          <w:tcPr>
            <w:tcW w:w="3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640" w:type="dxa"/>
            <w:vAlign w:val="bottom"/>
          </w:tcPr>
          <w:p>
            <w:pPr>
              <w:jc w:val="right"/>
              <w:ind w:right="1310"/>
              <w:spacing w:after="0"/>
              <w:rPr>
                <w:sz w:val="20"/>
                <w:szCs w:val="20"/>
                <w:color w:val="auto"/>
              </w:rPr>
            </w:pPr>
            <w:r>
              <w:rPr>
                <w:rFonts w:ascii="Arial" w:cs="Arial" w:eastAsia="Arial" w:hAnsi="Arial"/>
                <w:sz w:val="18"/>
                <w:szCs w:val="18"/>
                <w:color w:val="auto"/>
              </w:rPr>
              <w:t>2/17/2016</w:t>
            </w: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804,139</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57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 activity during the years ended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Outstanding, January 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12,277,000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18"/>
                <w:szCs w:val="18"/>
                <w:color w:val="auto"/>
              </w:rPr>
              <w:t>Expired – 2013</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(527,000)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Balance, December 31,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2014</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804,139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Cancelled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Expired – 2014</w:t>
            </w:r>
          </w:p>
        </w:tc>
        <w:tc>
          <w:tcPr>
            <w:tcW w:w="49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Balance, December 31, 2014</w:t>
            </w: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vMerge w:val="continue"/>
          </w:tcPr>
          <w:p>
            <w:pPr>
              <w:spacing w:after="0"/>
              <w:rPr>
                <w:sz w:val="21"/>
                <w:szCs w:val="21"/>
                <w:color w:val="auto"/>
              </w:rPr>
            </w:pPr>
          </w:p>
        </w:tc>
        <w:tc>
          <w:tcPr>
            <w:tcW w:w="49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1,854,139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62,418</w:t>
            </w:r>
          </w:p>
        </w:tc>
      </w:tr>
      <w:tr>
        <w:trPr>
          <w:trHeight w:val="251"/>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NOTE 14 – MAJOR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spacing w:after="0"/>
              <w:rPr>
                <w:sz w:val="20"/>
                <w:szCs w:val="20"/>
                <w:color w:val="auto"/>
              </w:rPr>
            </w:pPr>
            <w:r>
              <w:rPr>
                <w:rFonts w:ascii="Arial" w:cs="Arial" w:eastAsia="Arial" w:hAnsi="Arial"/>
                <w:sz w:val="18"/>
                <w:szCs w:val="18"/>
                <w:color w:val="auto"/>
                <w:w w:val="92"/>
              </w:rPr>
              <w:t>The Company had the following major customers that individually accounted for 10% or more of revenue in any one of the years presented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1,776,824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B</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797,972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1,053,321</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644,702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278,499</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 other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2,389,163</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1,193,587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6,502,962</w:t>
            </w:r>
          </w:p>
        </w:tc>
        <w:tc>
          <w:tcPr>
            <w:tcW w:w="120" w:type="dxa"/>
            <w:vAlign w:val="bottom"/>
          </w:tcPr>
          <w:p>
            <w:pPr>
              <w:spacing w:after="0"/>
              <w:rPr>
                <w:sz w:val="22"/>
                <w:szCs w:val="22"/>
                <w:color w:val="auto"/>
              </w:rPr>
            </w:pPr>
          </w:p>
        </w:tc>
        <w:tc>
          <w:tcPr>
            <w:tcW w:w="130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4,679,741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1329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 forwards of approximately $8.8 million that expire from 2027 through 2034 that are available to offset future taxable income. The Company was formed in 2006 as a limited liability company and incorporated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2014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(2,982,000)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(2,793,000)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the Company to distribute its eCoupon programs in the LDM network, not allowing the Company to distribute the LDM patient education programs, and not providing other information required under the settlement agreement. The Company is seeking enforcement of the settlement agreement and is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the Company’s eCoupon solution. The Company asserts that PDR’s acquisition of LDM and the use of the LDM network to distribute coupons by PDR violates the agreement between the parties and is seeking damages in an amount at least equal the amounts paid to date by the Company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2014 the Company learned that Mr. Milton Wilpon (“Mr. Wilpon”) of New Jersey claimed to have obtained a default judgment for approximately $929,000 in the New Jersey Superior Court, Essex County (the “Judgment”) against a predecessor of the Company and was seeking to amend the Judgment to add the Company as a judgment debtor. The Judgment was entered in 2006 when the predecessor of the Company was a dormant shell company and the Judgment allegedly related to a settlement agreement that was breached in 2001 (the “Settlement Agreement”). The Company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the Company’s motion and vacated the Judgment in its entirety and dismissed the action.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the Company was served with a copy of a Demand for Arbitration filed by Mr. Wilpon relating to his claims under the Settlement Agreement. On February 24, 2015, the Company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The Company intends vigorously to oppose Mr. Wilpon’s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discovered and recorded items requiring it to restate its 2013 financial results, as well as its 2014 quarterly results, to correct the accounting for certain transactions contained therein.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were restated in the 2013 Annual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Balance Sheet</w:t>
            </w:r>
          </w:p>
        </w:tc>
        <w:tc>
          <w:tcPr>
            <w:tcW w:w="13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87"/>
              </w:rPr>
              <w:t>Previously stated</w:t>
            </w:r>
          </w:p>
        </w:tc>
        <w:tc>
          <w:tcPr>
            <w:tcW w:w="280" w:type="dxa"/>
            <w:vAlign w:val="bottom"/>
          </w:tcPr>
          <w:p>
            <w:pPr>
              <w:spacing w:after="0"/>
              <w:rPr>
                <w:sz w:val="21"/>
                <w:szCs w:val="21"/>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1"/>
                <w:szCs w:val="21"/>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0"/>
        </w:trPr>
        <w:tc>
          <w:tcPr>
            <w:tcW w:w="4560" w:type="dxa"/>
            <w:vAlign w:val="bottom"/>
            <w:gridSpan w:val="7"/>
            <w:vMerge w:val="restart"/>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60" w:type="dxa"/>
            <w:vAlign w:val="bottom"/>
            <w:gridSpan w:val="7"/>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1,566,964</w:t>
            </w:r>
          </w:p>
        </w:tc>
        <w:tc>
          <w:tcPr>
            <w:tcW w:w="700" w:type="dxa"/>
            <w:vAlign w:val="bottom"/>
            <w:vMerge w:val="continue"/>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(55,255)</w:t>
            </w:r>
          </w:p>
        </w:tc>
        <w:tc>
          <w:tcPr>
            <w:tcW w:w="680" w:type="dxa"/>
            <w:vAlign w:val="bottom"/>
            <w:vMerge w:val="continue"/>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1,511,709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1,193,661</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1,287,552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226,272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Additional paid in capital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8,726,708</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148,477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8,875,155</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stock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(233,942)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Accumulated deficit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(24,616,220)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(25,099,357)</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10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4,957,016</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(277,275)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1,767,425</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2,973,990</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111,701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3,085,691</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780" w:type="dxa"/>
            <w:vAlign w:val="bottom"/>
            <w:gridSpan w:val="6"/>
          </w:tcPr>
          <w:p>
            <w:pPr>
              <w:jc w:val="center"/>
              <w:ind w:right="980"/>
              <w:spacing w:after="0"/>
              <w:rPr>
                <w:sz w:val="20"/>
                <w:szCs w:val="20"/>
                <w:color w:val="auto"/>
              </w:rPr>
            </w:pPr>
            <w:r>
              <w:rPr>
                <w:rFonts w:ascii="Arial" w:cs="Arial" w:eastAsia="Arial" w:hAnsi="Arial"/>
                <w:sz w:val="18"/>
                <w:szCs w:val="18"/>
                <w:color w:val="auto"/>
                <w:w w:val="89"/>
              </w:rPr>
              <w:t>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 options issued for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19,547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75,451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399,092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accounts receivable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(950,166)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55,255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1,103,084</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655"/>
        </w:trPr>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F-22</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effect of the restatement on the unaudited quarterly information previously filed.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September 30, 2013 (unaudited):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9"/>
          </w:tcPr>
          <w:p>
            <w:pPr>
              <w:jc w:val="center"/>
              <w:ind w:right="840"/>
              <w:spacing w:after="0" w:line="203" w:lineRule="exact"/>
              <w:rPr>
                <w:sz w:val="20"/>
                <w:szCs w:val="20"/>
                <w:color w:val="auto"/>
              </w:rPr>
            </w:pPr>
            <w:r>
              <w:rPr>
                <w:rFonts w:ascii="Arial" w:cs="Arial" w:eastAsia="Arial" w:hAnsi="Arial"/>
                <w:sz w:val="18"/>
                <w:szCs w:val="18"/>
                <w:color w:val="auto"/>
                <w:w w:val="88"/>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811,278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161,132</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8,449,271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8,597,748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(233,077)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(287,857)</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(24,870,854)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(25,141,061)</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gridSpan w:val="4"/>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1990"/>
              <w:spacing w:after="0"/>
              <w:rPr>
                <w:sz w:val="20"/>
                <w:szCs w:val="20"/>
                <w:color w:val="auto"/>
              </w:rPr>
            </w:pPr>
            <w:r>
              <w:rPr>
                <w:rFonts w:ascii="Arial" w:cs="Arial" w:eastAsia="Arial" w:hAnsi="Arial"/>
                <w:sz w:val="18"/>
                <w:szCs w:val="18"/>
                <w:color w:val="auto"/>
                <w:w w:val="89"/>
              </w:rPr>
              <w:t>Three Months ended September 30, 2013</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1,373,029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1,225,169</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529,134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557,510</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982,504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1,076,475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(141,527)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(411,734)</w:t>
            </w:r>
          </w:p>
        </w:tc>
      </w:tr>
      <w:tr>
        <w:trPr>
          <w:trHeight w:val="216"/>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90"/>
              </w:rPr>
              <w:t>Nine Months ended September 30, 2013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3,146,406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2,998,546</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1,264,059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1,292,435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2,272,239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2,366,210</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392"/>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60" w:type="dxa"/>
            <w:vAlign w:val="bottom"/>
            <w:gridSpan w:val="3"/>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310,823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404,794</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678,201</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111,880</w:t>
            </w:r>
          </w:p>
        </w:tc>
      </w:tr>
      <w:tr>
        <w:trPr>
          <w:trHeight w:val="432"/>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March 31, 2014 (unaudited):</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8"/>
          </w:tcPr>
          <w:p>
            <w:pPr>
              <w:jc w:val="center"/>
              <w:ind w:right="1040"/>
              <w:spacing w:after="0" w:line="203" w:lineRule="exact"/>
              <w:rPr>
                <w:sz w:val="20"/>
                <w:szCs w:val="20"/>
                <w:color w:val="auto"/>
              </w:rPr>
            </w:pPr>
            <w:r>
              <w:rPr>
                <w:rFonts w:ascii="Arial" w:cs="Arial" w:eastAsia="Arial" w:hAnsi="Arial"/>
                <w:sz w:val="18"/>
                <w:szCs w:val="18"/>
                <w:color w:val="auto"/>
                <w:w w:val="87"/>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4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797,725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167,880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965,605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268,807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437,521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27,155,730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27,304,207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(454,409)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(472,669)</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(25,269,535)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(591,917)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(25,861,452)</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2090"/>
              <w:spacing w:after="0"/>
              <w:rPr>
                <w:sz w:val="20"/>
                <w:szCs w:val="20"/>
                <w:color w:val="auto"/>
              </w:rPr>
            </w:pPr>
            <w:r>
              <w:rPr>
                <w:rFonts w:ascii="Arial" w:cs="Arial" w:eastAsia="Arial" w:hAnsi="Arial"/>
                <w:sz w:val="18"/>
                <w:szCs w:val="18"/>
                <w:color w:val="auto"/>
                <w:w w:val="90"/>
              </w:rPr>
              <w:t>Three Months ended March 31, 2014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1,289,428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1,489,858</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ind w:right="66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380,217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(395,935)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(333,334)</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192,381</w:t>
            </w:r>
          </w:p>
        </w:tc>
      </w:tr>
      <w:tr>
        <w:trPr>
          <w:trHeight w:val="655"/>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color w:val="auto"/>
              </w:rPr>
              <w:t>F-23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
              <w:r>
                <w:rPr>
                  <w:rFonts w:ascii="Arial" w:cs="Arial" w:eastAsia="Arial" w:hAnsi="Arial"/>
                  <w:sz w:val="18"/>
                  <w:szCs w:val="18"/>
                  <w:i w:val="1"/>
                  <w:iCs w:val="1"/>
                  <w:color w:val="0000EE"/>
                  <w:w w:val="88"/>
                </w:rPr>
                <w:t>Table of Contents</w:t>
              </w:r>
            </w:hyperlink>
          </w:p>
        </w:tc>
        <w:tc>
          <w:tcPr>
            <w:tcW w:w="63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7660" w:type="dxa"/>
            <w:vAlign w:val="bottom"/>
            <w:gridSpan w:val="8"/>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eriod Ended June 30, 2014 (unaudited):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506,901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872,989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258,270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301,178</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27,304,112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27,388,789</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(25,322,216)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26,060,890)</w:t>
            </w:r>
          </w:p>
        </w:tc>
      </w:tr>
      <w:tr>
        <w:trPr>
          <w:trHeight w:val="392"/>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6380" w:type="dxa"/>
            <w:vAlign w:val="bottom"/>
            <w:gridSpan w:val="7"/>
          </w:tcPr>
          <w:p>
            <w:pPr>
              <w:jc w:val="center"/>
              <w:ind w:right="1400"/>
              <w:spacing w:after="0"/>
              <w:rPr>
                <w:sz w:val="20"/>
                <w:szCs w:val="20"/>
                <w:color w:val="auto"/>
              </w:rPr>
            </w:pPr>
            <w:r>
              <w:rPr>
                <w:rFonts w:ascii="Arial" w:cs="Arial" w:eastAsia="Arial" w:hAnsi="Arial"/>
                <w:sz w:val="18"/>
                <w:szCs w:val="18"/>
                <w:color w:val="auto"/>
                <w:w w:val="89"/>
              </w:rPr>
              <w:t>Three Months ended June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1,454,214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1,427,008</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190,092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730,140</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967,070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896,529</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(146,757)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(199,438)</w:t>
            </w:r>
          </w:p>
        </w:tc>
      </w:tr>
      <w:tr>
        <w:trPr>
          <w:trHeight w:val="418"/>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Six Months ended June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2,771,560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2,716,436</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1,038,858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1,291,551</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2,439,028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2,386,747</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392"/>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654,634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602,353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(434,067)</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93,780</w:t>
            </w:r>
          </w:p>
        </w:tc>
      </w:tr>
      <w:tr>
        <w:trPr>
          <w:trHeight w:val="432"/>
        </w:trPr>
        <w:tc>
          <w:tcPr>
            <w:tcW w:w="7660" w:type="dxa"/>
            <w:vAlign w:val="bottom"/>
            <w:gridSpan w:val="8"/>
          </w:tcPr>
          <w:p>
            <w:pPr>
              <w:spacing w:after="0"/>
              <w:rPr>
                <w:sz w:val="20"/>
                <w:szCs w:val="20"/>
                <w:color w:val="auto"/>
              </w:rPr>
            </w:pPr>
            <w:r>
              <w:rPr>
                <w:rFonts w:ascii="Arial" w:cs="Arial" w:eastAsia="Arial" w:hAnsi="Arial"/>
                <w:sz w:val="18"/>
                <w:szCs w:val="18"/>
                <w:color w:val="auto"/>
              </w:rPr>
              <w:t>Period Ended September 30, 2014(unaudited):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853,410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421,019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1,274,429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118,949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28,398,825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28,483,502</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(25,716,530)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(26,355,433)</w:t>
            </w:r>
          </w:p>
        </w:tc>
      </w:tr>
      <w:tr>
        <w:trPr>
          <w:trHeight w:val="60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6380" w:type="dxa"/>
            <w:vAlign w:val="bottom"/>
            <w:gridSpan w:val="7"/>
          </w:tcPr>
          <w:p>
            <w:pPr>
              <w:jc w:val="center"/>
              <w:ind w:right="1400"/>
              <w:spacing w:after="0"/>
              <w:rPr>
                <w:sz w:val="20"/>
                <w:szCs w:val="20"/>
                <w:color w:val="auto"/>
              </w:rPr>
            </w:pPr>
            <w:r>
              <w:rPr>
                <w:rFonts w:ascii="Arial" w:cs="Arial" w:eastAsia="Arial" w:hAnsi="Arial"/>
                <w:sz w:val="18"/>
                <w:szCs w:val="18"/>
                <w:color w:val="auto"/>
                <w:w w:val="89"/>
              </w:rPr>
              <w:t>Three Months ended September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1,620,215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1,819,421</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858,898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99,435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958,,333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1,155,933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1,155,933</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(394,314)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(294,543)</w:t>
            </w:r>
          </w:p>
        </w:tc>
      </w:tr>
      <w:tr>
        <w:trPr>
          <w:trHeight w:val="418"/>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90"/>
              </w:rPr>
              <w:t>Nine Months ended September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4,535,857</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1,897,757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2,249,884</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3,594,961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3,542,681</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392"/>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(1,066,672)</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(340,251)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11,876</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issued 12,500 shares of common stock to two outside directors as payment of their quarterly Director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2014 through the date these financial statements were issued and has determined that it does not have any material subsequent events to disclose in these financial statements other than the events described above.</w:t>
      </w:r>
    </w:p>
    <w:p>
      <w:pPr>
        <w:sectPr>
          <w:pgSz w:w="11900" w:h="16838" w:orient="portrait"/>
          <w:cols w:equalWidth="0" w:num="1">
            <w:col w:w="11420"/>
          </w:cols>
          <w:pgMar w:left="240" w:top="216" w:right="239" w:bottom="244"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244"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370"/>
              <w:spacing w:after="0"/>
              <w:rPr>
                <w:sz w:val="20"/>
                <w:szCs w:val="20"/>
                <w:color w:val="auto"/>
              </w:rPr>
            </w:pPr>
            <w:r>
              <w:rPr>
                <w:rFonts w:ascii="Arial" w:cs="Arial" w:eastAsia="Arial" w:hAnsi="Arial"/>
                <w:sz w:val="18"/>
                <w:szCs w:val="18"/>
                <w:b w:val="1"/>
                <w:bCs w:val="1"/>
                <w:color w:val="auto"/>
              </w:rPr>
              <w:t>OPTIMIZERx CORPORATION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BALANCE SHEETS (UNAUDITED)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370"/>
              <w:spacing w:after="0"/>
              <w:rPr>
                <w:sz w:val="20"/>
                <w:szCs w:val="20"/>
                <w:color w:val="auto"/>
              </w:rPr>
            </w:pPr>
            <w:r>
              <w:rPr>
                <w:rFonts w:ascii="Arial" w:cs="Arial" w:eastAsia="Arial" w:hAnsi="Arial"/>
                <w:sz w:val="18"/>
                <w:szCs w:val="18"/>
                <w:b w:val="1"/>
                <w:bCs w:val="1"/>
                <w:color w:val="auto"/>
                <w:w w:val="96"/>
              </w:rPr>
              <w:t>AS OF MARCH 31, 2015 AND DECEMBER 31, 2014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2015</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280" w:type="dxa"/>
            <w:vAlign w:val="bottom"/>
          </w:tcPr>
          <w:p>
            <w:pPr>
              <w:spacing w:after="0"/>
              <w:rPr>
                <w:sz w:val="17"/>
                <w:szCs w:val="17"/>
                <w:color w:val="auto"/>
              </w:rPr>
            </w:pPr>
          </w:p>
        </w:tc>
        <w:tc>
          <w:tcPr>
            <w:tcW w:w="7400" w:type="dxa"/>
            <w:vAlign w:val="bottom"/>
          </w:tcPr>
          <w:p>
            <w:pPr>
              <w:jc w:val="center"/>
              <w:ind w:right="1170"/>
              <w:spacing w:after="0" w:line="201" w:lineRule="exact"/>
              <w:rPr>
                <w:sz w:val="20"/>
                <w:szCs w:val="20"/>
                <w:color w:val="auto"/>
              </w:rPr>
            </w:pPr>
            <w:r>
              <w:rPr>
                <w:rFonts w:ascii="Arial" w:cs="Arial" w:eastAsia="Arial" w:hAnsi="Arial"/>
                <w:sz w:val="18"/>
                <w:szCs w:val="18"/>
                <w:b w:val="1"/>
                <w:bCs w:val="1"/>
                <w:color w:val="auto"/>
                <w:w w:val="91"/>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3,510,823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1,813,541</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2,100,381</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38,299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5,362,663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gridSpan w:val="2"/>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916,956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462,784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1,384,789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6,759,196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shd w:val="clear" w:color="auto" w:fill="CCEEFF"/>
          </w:tcPr>
          <w:p>
            <w:pPr>
              <w:spacing w:after="0"/>
              <w:rPr>
                <w:sz w:val="21"/>
                <w:szCs w:val="2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163,131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200,372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1,163,302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1,502,761</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253,438</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2,180,722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2,418,722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22,924,819 and 22,867,319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gridSpan w:val="2"/>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22,925</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22,867</w:t>
            </w:r>
          </w:p>
        </w:tc>
        <w:tc>
          <w:tcPr>
            <w:tcW w:w="8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2,153,295</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27,720,330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27,595,609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1,021,000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963,063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(26,235,951)</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(26,124,750)</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4,578,474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6,759,196</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tcPr>
          <w:p>
            <w:pPr>
              <w:spacing w:after="0"/>
              <w:rPr>
                <w:sz w:val="20"/>
                <w:szCs w:val="20"/>
                <w:color w:val="auto"/>
              </w:rPr>
            </w:pPr>
          </w:p>
        </w:tc>
      </w:tr>
      <w:tr>
        <w:trPr>
          <w:trHeight w:val="21"/>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-5127625</wp:posOffset>
            </wp:positionV>
            <wp:extent cx="7246620" cy="510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360" w:type="dxa"/>
            <w:vAlign w:val="bottom"/>
          </w:tcPr>
          <w:p>
            <w:pPr>
              <w:jc w:val="center"/>
              <w:ind w:left="1410"/>
              <w:spacing w:after="0"/>
              <w:rPr>
                <w:sz w:val="20"/>
                <w:szCs w:val="20"/>
                <w:color w:val="auto"/>
              </w:rPr>
            </w:pPr>
            <w:r>
              <w:rPr>
                <w:rFonts w:ascii="Arial" w:cs="Arial" w:eastAsia="Arial" w:hAnsi="Arial"/>
                <w:sz w:val="18"/>
                <w:szCs w:val="18"/>
                <w:b w:val="1"/>
                <w:bCs w:val="1"/>
                <w:color w:val="auto"/>
              </w:rPr>
              <w:t>OPTIMIZERx CORPORATION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CONSOLIDATED STATEMENTS OF OPERATIONS (UNAUDITED)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jc w:val="center"/>
              <w:ind w:left="1410"/>
              <w:spacing w:after="0"/>
              <w:rPr>
                <w:sz w:val="20"/>
                <w:szCs w:val="20"/>
                <w:color w:val="auto"/>
              </w:rPr>
            </w:pPr>
            <w:r>
              <w:rPr>
                <w:rFonts w:ascii="Arial" w:cs="Arial" w:eastAsia="Arial" w:hAnsi="Arial"/>
                <w:sz w:val="18"/>
                <w:szCs w:val="18"/>
                <w:b w:val="1"/>
                <w:bCs w:val="1"/>
                <w:color w:val="auto"/>
                <w:w w:val="98"/>
              </w:rPr>
              <w:t>FOR THE THREE MONTHS ENDED MARCH 31, 2015 AND 2014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20"/>
              <w:spacing w:after="0"/>
              <w:rPr>
                <w:sz w:val="20"/>
                <w:szCs w:val="20"/>
                <w:color w:val="auto"/>
              </w:rPr>
            </w:pPr>
            <w:r>
              <w:rPr>
                <w:rFonts w:ascii="Arial" w:cs="Arial" w:eastAsia="Arial" w:hAnsi="Arial"/>
                <w:sz w:val="18"/>
                <w:szCs w:val="18"/>
                <w:color w:val="auto"/>
                <w:w w:val="92"/>
              </w:rPr>
              <w:t>For the 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72"/>
              <w:spacing w:after="0" w:line="201" w:lineRule="exact"/>
              <w:rPr>
                <w:sz w:val="20"/>
                <w:szCs w:val="20"/>
                <w:color w:val="auto"/>
              </w:rPr>
            </w:pPr>
            <w:r>
              <w:rPr>
                <w:rFonts w:ascii="Arial" w:cs="Arial" w:eastAsia="Arial" w:hAnsi="Arial"/>
                <w:sz w:val="18"/>
                <w:szCs w:val="18"/>
                <w:color w:val="auto"/>
                <w:w w:val="85"/>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1,487,553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756,440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731,113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842,610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LOSS BEFORE PROVISION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(762,095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22,897,819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16,683,894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color w:val="auto"/>
                <w:w w:val="91"/>
              </w:rPr>
              <w:t>F-26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-5770880</wp:posOffset>
            </wp:positionV>
            <wp:extent cx="7246620" cy="5042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50425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360" w:type="dxa"/>
            <w:vAlign w:val="bottom"/>
          </w:tcPr>
          <w:p>
            <w:pPr>
              <w:jc w:val="center"/>
              <w:ind w:left="1410"/>
              <w:spacing w:after="0"/>
              <w:rPr>
                <w:sz w:val="20"/>
                <w:szCs w:val="20"/>
                <w:color w:val="auto"/>
              </w:rPr>
            </w:pPr>
            <w:r>
              <w:rPr>
                <w:rFonts w:ascii="Arial" w:cs="Arial" w:eastAsia="Arial" w:hAnsi="Arial"/>
                <w:sz w:val="18"/>
                <w:szCs w:val="18"/>
                <w:b w:val="1"/>
                <w:bCs w:val="1"/>
                <w:color w:val="auto"/>
              </w:rPr>
              <w:t>OPTIMIZERx CORPORATION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CONSOLIDATED STATEMENTS OF CASH FLOWS (UNAUDITED)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jc w:val="center"/>
              <w:ind w:left="1410"/>
              <w:spacing w:after="0"/>
              <w:rPr>
                <w:sz w:val="20"/>
                <w:szCs w:val="20"/>
                <w:color w:val="auto"/>
              </w:rPr>
            </w:pPr>
            <w:r>
              <w:rPr>
                <w:rFonts w:ascii="Arial" w:cs="Arial" w:eastAsia="Arial" w:hAnsi="Arial"/>
                <w:sz w:val="18"/>
                <w:szCs w:val="18"/>
                <w:b w:val="1"/>
                <w:bCs w:val="1"/>
                <w:color w:val="auto"/>
                <w:w w:val="98"/>
              </w:rPr>
              <w:t>FOR THE THREE MONTHS ENDED MARCH 31, 2015 AND 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7"/>
          </w:tcPr>
          <w:p>
            <w:pPr>
              <w:jc w:val="right"/>
              <w:ind w:right="360"/>
              <w:spacing w:after="0"/>
              <w:rPr>
                <w:sz w:val="20"/>
                <w:szCs w:val="20"/>
                <w:color w:val="auto"/>
              </w:rPr>
            </w:pPr>
            <w:r>
              <w:rPr>
                <w:rFonts w:ascii="Arial" w:cs="Arial" w:eastAsia="Arial" w:hAnsi="Arial"/>
                <w:sz w:val="18"/>
                <w:szCs w:val="18"/>
                <w:color w:val="auto"/>
                <w:w w:val="91"/>
              </w:rPr>
              <w:t>For the 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5"/>
              </w:rPr>
              <w:t>Restated</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(111,201)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79,591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439,838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286,840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(37,241)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(339,459)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133,308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86,692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226,727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Patent rights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Website site development costs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(19,800)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issuance costs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(1,204,968)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Purchase of common and preferred stock and warrants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20" w:type="dxa"/>
            <w:vAlign w:val="bottom"/>
            <w:gridSpan w:val="2"/>
          </w:tcPr>
          <w:p>
            <w:pPr>
              <w:spacing w:after="0" w:line="203" w:lineRule="exact"/>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63,850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2,912,487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3,446,973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20" w:type="dxa"/>
            <w:vAlign w:val="bottom"/>
            <w:gridSpan w:val="2"/>
            <w:vMerge w:val="continue"/>
          </w:tcPr>
          <w:p>
            <w:pPr>
              <w:spacing w:after="0"/>
              <w:rPr>
                <w:sz w:val="24"/>
                <w:szCs w:val="24"/>
                <w:color w:val="auto"/>
              </w:rPr>
            </w:pP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3,510,823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4,030,730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-5161915</wp:posOffset>
            </wp:positionV>
            <wp:extent cx="7246620" cy="5137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1371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OptimizeRx Corporation, is a technology solution company focused on the health care industry. Its objective is to bring better access to better care by leveraging its proprietary technology to provide on demand savings and support within physicians and patients web based platforms, including Electronic Health Records and Patient Portals. Initially defined as a marketing and advertising company through its consumer website, OptimizeRx.com, the Company has matured as a technology solutions provider through its direct to physician solution, SampleMD. SampleMD allows physicians to automatically display and distribute sample vouchers and/or co-pay coupons electronically within the ePrescription platform to pharmacies on behalf of their patients. The SampleMD solution is integrated into the ePrescribing or Electronic Medical Records applications, but can also sit on a prescriber’s desktop.</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solutions provide health care institutions with an alternative option to the traditional hassles and issues associated with storing and managing physical drug samples and pre-printed coupons and it provides better access and affordability to patients to improve affordability, adherence and outcomes. In turn, OptimizeRx provides pharmaceutical manufacturers with both direct to consumer and direct to physician channels for more efficiently communicating and promoting their products and savings.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2015 and 2014 have been prepared by us without audit pursuant to the rules and regulations of the Securities and Exchange Commission. In the opinion of management, all adjustments necessary to present fairly our financial position, results of operations, and cash flows as of March 31, 2015 and 2014, and for the periods then ended, have been made. Those adjustments consist of normal and recurring adjustments. The consolidated balance sheet as of December 31, 2014,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2014,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 period ended March 31, 2015,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2015, we issued 12,500 shares of common stock to outside Directors in connection with our Director Compensation plan which calls for issuance of 6,250 shares per quarter for each Director. Those shares were recorded as stock payable at December 31, 2014. In addition, we recorded an additional 12,500 shares, valued at $16,375 as stock payable at March 31, 2015 for shares to be issued in April 2015.</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45,000 of these shares were issued in March 2015, with the balance to be issued in August 2015. The agreement also allows an additional 60,000 shares to be earned based on future contingencies.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we entered into a securities purchase agreement, pursuant to which we sold 8,333,333 shares of our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our common stock with an exercise price of $1.20 per share and a term of 5 years. The warrants were valued at $1,110,211, have been recorded as equity issuance costs, and were registered on a registration statement that went effective May 28, 2014. In addition to the warrants to placement agents, we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executive officers at any time.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the net proceeds of the offering to exercise the securities redemption option agreement, as amended, with Vicis Capital Master Fund that provided us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were used for working capital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we agreed to grant 337,500 shares of our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These shares have not been issued, but are recorded as stock payable and can be requested by the officers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$53,841 and $36,235 in compensation expense in the periods ended March 31, 2015 and 2014, respectively, related to options issued under our stock-based incentive compensation plan. This includes expense related to options issued in prior years for which the requisite service period for those options includes the current year. No options were issued in the current year. The fair value of these instruments was calculated using the Black-Scholes option pricing model. Information related to the assumptions used in this model is set forth in our Annual Report on Form 10-K for the fiscal year ended December 31,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is seeking damages in an amount at least equal to the amounts paid to date to LDM under the settlement agreement, which approximates $1.0 million,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is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United States District Court in the District of New Jersey, without predjudice.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2014 we learned that Mr. Milton Wilpon (“Mr. Wilpon”) of New Jersey claimed to have obtained a default judgment for approximately $929,000 in the New Jersey Superior Court, Essex County (the “Judgment”) against a predecessor of the Company and was seeking to amend the Judgment to add us as a judgment debtor. The Judgment was entered in 2006 when the predecessor of the Company was a dormant shell company and the Judgment allegedly related to a settlement agreement that was breached in 2001 (the “Settlement Agreement”). We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our motion and vacated the Judgment in its entirety and dismissed the action.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petitioned the AAA to terminate the proceeding and in April 2015, the proceeding was terminated.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restated our financial statements to correct the way it accounted for certain items related to stock based compensation, revenue share expense, and revenue recognition. The full impact of the restatement was reflected in the December 31, 2014 financial statements at the end of the year. The table below reflects the impact on the 2014 period reflected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restated Consolidated Statement of Operations and Consolidated Statement of Cash Flows for the periods ended March 31, 2014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440" w:type="dxa"/>
            <w:vAlign w:val="bottom"/>
            <w:gridSpan w:val="4"/>
          </w:tcPr>
          <w:p>
            <w:pPr>
              <w:ind w:left="640"/>
              <w:spacing w:after="0"/>
              <w:rPr>
                <w:sz w:val="20"/>
                <w:szCs w:val="20"/>
                <w:color w:val="auto"/>
              </w:rPr>
            </w:pPr>
            <w:r>
              <w:rPr>
                <w:rFonts w:ascii="Arial" w:cs="Arial" w:eastAsia="Arial" w:hAnsi="Arial"/>
                <w:sz w:val="18"/>
                <w:szCs w:val="18"/>
                <w:color w:val="auto"/>
              </w:rPr>
              <w:t>Three months ended March 31,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Previously</w:t>
            </w:r>
          </w:p>
        </w:tc>
      </w:tr>
      <w:tr>
        <w:trPr>
          <w:trHeight w:val="237"/>
        </w:trPr>
        <w:tc>
          <w:tcPr>
            <w:tcW w:w="20" w:type="dxa"/>
            <w:vAlign w:val="bottom"/>
          </w:tcPr>
          <w:p>
            <w:pPr>
              <w:spacing w:after="0"/>
              <w:rPr>
                <w:sz w:val="20"/>
                <w:szCs w:val="20"/>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Statement</w:t>
            </w:r>
          </w:p>
        </w:tc>
        <w:tc>
          <w:tcPr>
            <w:tcW w:w="1980" w:type="dxa"/>
            <w:vAlign w:val="bottom"/>
            <w:tcBorders>
              <w:top w:val="single" w:sz="8" w:color="auto"/>
            </w:tcBorders>
          </w:tcPr>
          <w:p>
            <w:pPr>
              <w:spacing w:after="0"/>
              <w:rPr>
                <w:sz w:val="20"/>
                <w:szCs w:val="20"/>
                <w:color w:val="auto"/>
              </w:rPr>
            </w:pPr>
          </w:p>
        </w:tc>
        <w:tc>
          <w:tcPr>
            <w:tcW w:w="43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Line Item</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Stated</w:t>
            </w:r>
          </w:p>
        </w:tc>
      </w:tr>
      <w:tr>
        <w:trPr>
          <w:trHeight w:val="250"/>
        </w:trPr>
        <w:tc>
          <w:tcPr>
            <w:tcW w:w="20" w:type="dxa"/>
            <w:vAlign w:val="bottom"/>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line="203" w:lineRule="exact"/>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7"/>
                <w:szCs w:val="17"/>
                <w:color w:val="auto"/>
              </w:rPr>
            </w:pPr>
          </w:p>
        </w:tc>
        <w:tc>
          <w:tcPr>
            <w:tcW w:w="44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561,411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498,810</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1,471,958</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(762,201)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(653,421)</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Income statement</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(653,315)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Stock and options issued for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439,838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421,577</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Decrease in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400,330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455,585</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Increase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41,439</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Decrease in revenue share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(321,947)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(395,935)</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98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Arial" w:cs="Arial" w:eastAsia="Arial" w:hAnsi="Arial"/>
                <w:sz w:val="18"/>
                <w:szCs w:val="18"/>
                <w:color w:val="auto"/>
              </w:rPr>
              <w:t>Increase in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211,248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-1852295</wp:posOffset>
            </wp:positionV>
            <wp:extent cx="7246620" cy="18440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2015, we issued 12,500 shares of common stock to our outside directors in connection with their compensation as Directors. The grant was valued at the fair market value at the date of grant of $16,375 and recorded as stock payable at March 31, 2015. We also issued 108,000 shares of common stock in connection with the capital markets advisory described in Note 2 to be delivered only upon reaching established milestones.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2014, Silberstein Ungar, PLLC notified us that its principals joined the accounting firm of KLJ &amp; Associates, LLP. As a result of the transaction, on July 25, 2014, Silberstein Ungar, PLLC resigned as our independent registered public accounting firm and we engaged KLJ &amp; Associates, LLP as our independent registered public accounting firm.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3"/>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gridSpan w:val="2"/>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980" w:type="dxa"/>
            <w:vAlign w:val="bottom"/>
            <w:gridSpan w:val="2"/>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77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15,127.50</w:t>
            </w:r>
          </w:p>
        </w:tc>
        <w:tc>
          <w:tcPr>
            <w:tcW w:w="0" w:type="dxa"/>
            <w:vAlign w:val="bottom"/>
          </w:tcPr>
          <w:p>
            <w:pPr>
              <w:spacing w:after="0"/>
              <w:rPr>
                <w:sz w:val="1"/>
                <w:szCs w:val="1"/>
                <w:color w:val="auto"/>
              </w:rPr>
            </w:pPr>
          </w:p>
        </w:tc>
      </w:tr>
      <w:tr>
        <w:trPr>
          <w:trHeight w:val="418"/>
        </w:trPr>
        <w:tc>
          <w:tcPr>
            <w:tcW w:w="9000" w:type="dxa"/>
            <w:vAlign w:val="bottom"/>
            <w:gridSpan w:val="3"/>
          </w:tcPr>
          <w:p>
            <w:pPr>
              <w:spacing w:after="0"/>
              <w:rPr>
                <w:sz w:val="20"/>
                <w:szCs w:val="20"/>
                <w:color w:val="auto"/>
              </w:rPr>
            </w:pPr>
            <w:r>
              <w:rPr>
                <w:rFonts w:ascii="Arial" w:cs="Arial" w:eastAsia="Arial" w:hAnsi="Arial"/>
                <w:sz w:val="18"/>
                <w:szCs w:val="18"/>
                <w:color w:val="auto"/>
              </w:rPr>
              <w:t>* Estimates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917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54" w:lineRule="exact"/>
        <w:rPr>
          <w:sz w:val="20"/>
          <w:szCs w:val="20"/>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4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233"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29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5176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ind w:left="120"/>
        <w:spacing w:after="0" w:line="180"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ind w:left="120" w:right="1380"/>
        <w:spacing w:after="0" w:line="199"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Opinion of The Doney Law Firm, with consent to use</w:t>
      </w:r>
    </w:p>
    <w:p>
      <w:pPr>
        <w:ind w:left="120"/>
        <w:spacing w:after="0" w:line="207" w:lineRule="auto"/>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30"/>
          <w:szCs w:val="30"/>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4"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0" w:lineRule="auto"/>
        <w:rPr>
          <w:sz w:val="20"/>
          <w:szCs w:val="20"/>
          <w:color w:val="auto"/>
        </w:rPr>
      </w:pPr>
      <w:r>
        <w:rPr>
          <w:rFonts w:ascii="Arial" w:cs="Arial" w:eastAsia="Arial" w:hAnsi="Arial"/>
          <w:sz w:val="16"/>
          <w:szCs w:val="16"/>
          <w:color w:val="auto"/>
        </w:rPr>
        <w:t>Employment Agreement, dated January 14, 2013</w:t>
      </w:r>
      <w:r>
        <w:rPr>
          <w:rFonts w:ascii="Arial" w:cs="Arial" w:eastAsia="Arial" w:hAnsi="Arial"/>
          <w:sz w:val="25"/>
          <w:szCs w:val="25"/>
          <w:color w:val="auto"/>
          <w:vertAlign w:val="superscript"/>
        </w:rPr>
        <w:t>4</w:t>
      </w:r>
    </w:p>
    <w:p>
      <w:pPr>
        <w:ind w:left="120"/>
        <w:spacing w:after="0" w:line="207"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30"/>
          <w:szCs w:val="30"/>
          <w:color w:val="auto"/>
          <w:vertAlign w:val="superscript"/>
        </w:rPr>
        <w:t>5</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4"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p>
      <w:pPr>
        <w:ind w:left="120"/>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p>
      <w:pPr>
        <w:ind w:left="120"/>
        <w:spacing w:after="0" w:line="181" w:lineRule="auto"/>
        <w:rPr>
          <w:sz w:val="20"/>
          <w:szCs w:val="20"/>
          <w:color w:val="auto"/>
        </w:rPr>
      </w:pPr>
      <w:r>
        <w:rPr>
          <w:rFonts w:ascii="Arial" w:cs="Arial" w:eastAsia="Arial" w:hAnsi="Arial"/>
          <w:sz w:val="16"/>
          <w:szCs w:val="16"/>
          <w:color w:val="auto"/>
        </w:rPr>
        <w:t>Securities Purchase Agreement</w:t>
      </w:r>
      <w:r>
        <w:rPr>
          <w:rFonts w:ascii="Arial" w:cs="Arial" w:eastAsia="Arial" w:hAnsi="Arial"/>
          <w:sz w:val="25"/>
          <w:szCs w:val="25"/>
          <w:color w:val="auto"/>
          <w:vertAlign w:val="superscript"/>
        </w:rPr>
        <w:t>9</w:t>
      </w:r>
    </w:p>
    <w:p>
      <w:pPr>
        <w:ind w:left="120"/>
        <w:spacing w:after="0" w:line="206"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30"/>
          <w:szCs w:val="30"/>
          <w:color w:val="auto"/>
          <w:vertAlign w:val="superscript"/>
        </w:rPr>
        <w:t>9</w:t>
      </w:r>
    </w:p>
    <w:p>
      <w:pPr>
        <w:ind w:left="120"/>
        <w:spacing w:after="0" w:line="185"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10</w:t>
      </w:r>
    </w:p>
    <w:p>
      <w:pPr>
        <w:ind w:left="120"/>
        <w:spacing w:after="0" w:line="180" w:lineRule="auto"/>
        <w:rPr>
          <w:sz w:val="20"/>
          <w:szCs w:val="20"/>
          <w:color w:val="auto"/>
        </w:rPr>
      </w:pPr>
      <w:r>
        <w:rPr>
          <w:rFonts w:ascii="Arial" w:cs="Arial" w:eastAsia="Arial" w:hAnsi="Arial"/>
          <w:sz w:val="16"/>
          <w:szCs w:val="16"/>
          <w:color w:val="auto"/>
        </w:rPr>
        <w:t>Warrant Agreement</w:t>
      </w:r>
      <w:r>
        <w:rPr>
          <w:rFonts w:ascii="Arial" w:cs="Arial" w:eastAsia="Arial" w:hAnsi="Arial"/>
          <w:sz w:val="25"/>
          <w:szCs w:val="25"/>
          <w:color w:val="auto"/>
          <w:vertAlign w:val="superscript"/>
        </w:rPr>
        <w:t>10</w:t>
      </w:r>
    </w:p>
    <w:p>
      <w:pPr>
        <w:ind w:left="120"/>
        <w:spacing w:after="0" w:line="182" w:lineRule="auto"/>
        <w:rPr>
          <w:sz w:val="20"/>
          <w:szCs w:val="20"/>
          <w:color w:val="auto"/>
        </w:rPr>
      </w:pPr>
      <w:r>
        <w:rPr>
          <w:rFonts w:ascii="Arial" w:cs="Arial" w:eastAsia="Arial" w:hAnsi="Arial"/>
          <w:sz w:val="17"/>
          <w:szCs w:val="17"/>
          <w:color w:val="auto"/>
        </w:rPr>
        <w:t>Employment Agreement, dated May 12, 2014</w:t>
      </w:r>
      <w:r>
        <w:rPr>
          <w:rFonts w:ascii="Arial" w:cs="Arial" w:eastAsia="Arial" w:hAnsi="Arial"/>
          <w:sz w:val="28"/>
          <w:szCs w:val="28"/>
          <w:color w:val="auto"/>
          <w:vertAlign w:val="superscript"/>
        </w:rPr>
        <w:t>11</w:t>
      </w:r>
    </w:p>
    <w:p>
      <w:pPr>
        <w:ind w:left="120"/>
        <w:spacing w:after="0"/>
        <w:rPr>
          <w:sz w:val="20"/>
          <w:szCs w:val="20"/>
          <w:color w:val="auto"/>
        </w:rPr>
      </w:pPr>
      <w:r>
        <w:rPr>
          <w:rFonts w:ascii="Arial" w:cs="Arial" w:eastAsia="Arial" w:hAnsi="Arial"/>
          <w:sz w:val="18"/>
          <w:szCs w:val="18"/>
          <w:color w:val="auto"/>
        </w:rPr>
        <w:t>Advisory Agreement, dated February 23, 2015</w:t>
      </w:r>
    </w:p>
    <w:p>
      <w:pPr>
        <w:ind w:left="120"/>
        <w:spacing w:after="0" w:line="181"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p>
      <w:pPr>
        <w:ind w:left="120"/>
        <w:spacing w:after="0" w:line="235" w:lineRule="auto"/>
        <w:rPr>
          <w:sz w:val="20"/>
          <w:szCs w:val="20"/>
          <w:color w:val="auto"/>
        </w:rPr>
      </w:pPr>
      <w:r>
        <w:rPr>
          <w:rFonts w:ascii="Arial" w:cs="Arial" w:eastAsia="Arial" w:hAnsi="Arial"/>
          <w:sz w:val="18"/>
          <w:szCs w:val="18"/>
          <w:color w:val="auto"/>
        </w:rPr>
        <w:t>Consent of KLJ &amp; Associates, LLP, an Independent Registered Public Accounting Firm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 of Silberstein Ungar, PLLC, an Independent Registered Public Accounting Firm</w:t>
      </w:r>
    </w:p>
    <w:p>
      <w:pPr>
        <w:spacing w:after="0" w:line="200" w:lineRule="exact"/>
        <w:rPr>
          <w:sz w:val="20"/>
          <w:szCs w:val="20"/>
          <w:color w:val="auto"/>
        </w:rPr>
      </w:pPr>
    </w:p>
    <w:p>
      <w:pPr>
        <w:sectPr>
          <w:pgSz w:w="11900" w:h="16838" w:orient="portrait"/>
          <w:cols w:equalWidth="0" w:num="2">
            <w:col w:w="640" w:space="400"/>
            <w:col w:w="10380"/>
          </w:cols>
          <w:pgMar w:left="240" w:top="233" w:right="239" w:bottom="144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79" w:name="page80"/>
    <w:bookmarkEnd w:id="7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327"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ind w:left="580" w:hanging="572"/>
        <w:spacing w:after="0" w:line="180" w:lineRule="auto"/>
        <w:tabs>
          <w:tab w:leader="none" w:pos="58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31, 2010.</w:t>
      </w:r>
    </w:p>
    <w:p>
      <w:pPr>
        <w:ind w:left="580" w:hanging="572"/>
        <w:spacing w:after="0" w:line="180" w:lineRule="auto"/>
        <w:tabs>
          <w:tab w:leader="none" w:pos="58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30, 2010.</w:t>
      </w:r>
    </w:p>
    <w:p>
      <w:pPr>
        <w:ind w:left="580" w:hanging="572"/>
        <w:spacing w:after="0" w:line="181" w:lineRule="auto"/>
        <w:tabs>
          <w:tab w:leader="none" w:pos="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18, 2013.</w:t>
      </w:r>
    </w:p>
    <w:p>
      <w:pPr>
        <w:ind w:left="580" w:hanging="572"/>
        <w:spacing w:after="0" w:line="180" w:lineRule="auto"/>
        <w:tabs>
          <w:tab w:leader="none" w:pos="58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ind w:left="580" w:hanging="572"/>
        <w:spacing w:after="0" w:line="181" w:lineRule="auto"/>
        <w:tabs>
          <w:tab w:leader="none" w:pos="58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August 15, 2013.</w:t>
      </w:r>
    </w:p>
    <w:p>
      <w:pPr>
        <w:ind w:left="580" w:hanging="572"/>
        <w:spacing w:after="0" w:line="180" w:lineRule="auto"/>
        <w:tabs>
          <w:tab w:leader="none" w:pos="58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580" w:hanging="572"/>
        <w:spacing w:after="0" w:line="180" w:lineRule="auto"/>
        <w:tabs>
          <w:tab w:leader="none" w:pos="58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2, 2014.</w:t>
      </w:r>
    </w:p>
    <w:p>
      <w:pPr>
        <w:ind w:left="580" w:hanging="572"/>
        <w:spacing w:after="0" w:line="181" w:lineRule="auto"/>
        <w:tabs>
          <w:tab w:leader="none" w:pos="58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580" w:hanging="572"/>
        <w:spacing w:after="0" w:line="180" w:lineRule="auto"/>
        <w:tabs>
          <w:tab w:leader="none" w:pos="58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May 14, 2014.</w:t>
      </w:r>
    </w:p>
    <w:p>
      <w:pPr>
        <w:spacing w:after="0" w:line="19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49"/>
        <w:spacing w:after="0" w:line="272" w:lineRule="auto"/>
        <w:tabs>
          <w:tab w:leader="none" w:pos="69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June 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June 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June 1,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David Harrell</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98"/>
              </w:rPr>
              <w:t>Chief Executive Officer, Principal Executive Officer</w:t>
            </w:r>
          </w:p>
        </w:tc>
      </w:tr>
      <w:tr>
        <w:trPr>
          <w:trHeight w:val="203"/>
        </w:trPr>
        <w:tc>
          <w:tcPr>
            <w:tcW w:w="58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Lester</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David Lester</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97"/>
              </w:rPr>
              <w:t>Vice President, Channel Management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Hamilton</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Terence J. Hamilton</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Vice President, Sales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 2015</w:t>
            </w: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Gus D. Halas</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Jack Pinney</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1, 2015</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165735</wp:posOffset>
            </wp:positionV>
            <wp:extent cx="5085715" cy="763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57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June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Re:</w:t>
        <w:tab/>
        <w:t>OptimizeRx Corp.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have acted as counsel for OptimizeRx Corp., a Nevada corporation (the “Company”), in connection with the registration statement on Form S-1 (the “Registration Statement”) filed with the Securities and Exchange Commission (the “Commission”) on April 23, 2015, and any amendments thereto, pursuant to the Securities Act of 1933, as amended (the “Act”). The Registration Statement relates to the resale registration of: (a) 804,139 shares of common stock reserved for issuance and issuable upon the exercise of the warrants; and (b) 45,000 shares of the Company’s common stock, all of which are to be offered and sold by certain stockholders of the Company (the “Selling Stockholders”) as set forth in the Registration Statement.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of common stock to be sold by the Selling Stockholders are legally and validly issued, fully paid and non-assessable.</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of common stock underlying the warrants to be sold by the Selling Stockholders will be validly issued, fully paid and non-assessable and will be a binding obligation of the Company under the law of the State of Nevada when issued by the Company if the exercise price is received by the Company.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CONSENT to the use of my opinion in connection with the Form S-1 Registration Statement and any amendments thereto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97560" cy="711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756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PERSONAL &amp;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Harrell: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Merriman Capital, Inc. ("Merriman") is pleased to act as a non-exclusive Capital Markets Advisor to OptimizeRx (the "Company"). The purpose of this relationship is to provide expertise to OptimizeRx management with regard to capital market interactions. We will coordinate with OptimizeRx to develop and execute on a strategy to improve the overall positioning and visibility of the Company as described below.</w:t>
      </w:r>
    </w:p>
    <w:p>
      <w:pPr>
        <w:spacing w:after="0" w:line="177"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 In connection with this engagement, Merriman agrees to perform the following services on a "best efforts" basis:</w:t>
      </w:r>
    </w:p>
    <w:p>
      <w:pPr>
        <w:spacing w:after="0" w:line="229" w:lineRule="exact"/>
        <w:rPr>
          <w:rFonts w:ascii="Arial" w:cs="Arial" w:eastAsia="Arial" w:hAnsi="Arial"/>
          <w:sz w:val="18"/>
          <w:szCs w:val="18"/>
          <w:color w:val="auto"/>
        </w:rPr>
      </w:pPr>
    </w:p>
    <w:p>
      <w:pPr>
        <w:ind w:left="1960" w:hanging="655"/>
        <w:spacing w:after="0"/>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Review the Company's current and historical financial information, capital structure and carry out customary due diligence;</w:t>
      </w:r>
    </w:p>
    <w:p>
      <w:pPr>
        <w:spacing w:after="0" w:line="236" w:lineRule="exact"/>
        <w:rPr>
          <w:rFonts w:ascii="Arial" w:cs="Arial" w:eastAsia="Arial" w:hAnsi="Arial"/>
          <w:sz w:val="17"/>
          <w:szCs w:val="17"/>
          <w:color w:val="auto"/>
        </w:rPr>
      </w:pPr>
    </w:p>
    <w:p>
      <w:pPr>
        <w:ind w:left="1960" w:hanging="655"/>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Review any investor relations materials and/or public communications, including press releases, upon request of the Company and subject to any non-disclosure agreements between Merriman Capital and the Company;</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Continue research coverage at the discretion of the analyst. There is no guarantee of research coverage, nor is there any guarantee that a favorable opinion will be rendered, even if the analyst chooses to cover the Company;</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Provide access to Merriman clients and its sponsored conferences and events with the goal of increasing awareness of and marketing for the Company. This may include making introductions to qualified investors, one-on-one meetings, conference calls, road shows, spotlight events, and/or other traditional marketing activities;</w:t>
      </w:r>
    </w:p>
    <w:p>
      <w:pPr>
        <w:spacing w:after="0" w:line="181"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Provide management with ongoing "advisory" recommendations and insights regarding capital market scenarios as needed and upon the request of management in areas where Merriman is deemed to have expertise;</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Provide access to the Merriman Digital Capital Network (DCN) with data room and information on the Company on a non-deal basis, including outreach to the physicians who are registered on the DCN through Med Panel;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Assist in the development of strategic partnerships to escalate growth;</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Assist in up-listing OPRX to a national market upon request, including the AMEX, NYSE or NASDAQ, with the understanding that the Company must first meet the requirements for up-listing to the chosen market.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7" w:lineRule="exact"/>
        <w:rPr>
          <w:sz w:val="20"/>
          <w:szCs w:val="20"/>
          <w:color w:val="auto"/>
        </w:rPr>
      </w:pPr>
    </w:p>
    <w:p>
      <w:pPr>
        <w:jc w:val="both"/>
        <w:ind w:left="1300" w:hanging="644"/>
        <w:spacing w:after="0" w:line="25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conjunction with the execution of this Agreement, Merriman shall receive an initial payment in unregistered stock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45,000 shares of OPRX. An additional payment in the equal amount of 45,000 unregistered shares shall be remitted to Merriman on or before August 15, 2015, subject to the terms of engagement detailed in Section (4) below. The company also agrees to file a registration statement for the initial shares within 30 days of filing its 2014 10K and agrees to file another registration statement within 30 days of issuing the second payment of OPRX shares. Any other services that the Company may require shall be covered separately under another agreement. Except as expressly set forth in this Agreement, these fees are NON-REFUNDABLE and only cover the Capital Markets Advisory Services described in Section (1) above.</w:t>
      </w:r>
    </w:p>
    <w:p>
      <w:pPr>
        <w:spacing w:after="0" w:line="189" w:lineRule="exact"/>
        <w:rPr>
          <w:rFonts w:ascii="Arial" w:cs="Arial" w:eastAsia="Arial" w:hAnsi="Arial"/>
          <w:sz w:val="18"/>
          <w:szCs w:val="18"/>
          <w:color w:val="auto"/>
        </w:rPr>
      </w:pPr>
    </w:p>
    <w:p>
      <w:pPr>
        <w:jc w:val="both"/>
        <w:ind w:left="1300" w:hanging="644"/>
        <w:spacing w:after="0" w:line="274"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Special Incentive Bonus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the Company successfully completes an up-listing to any of the national markets designated as</w:t>
      </w:r>
      <w:r>
        <w:rPr>
          <w:rFonts w:ascii="Arial" w:cs="Arial" w:eastAsia="Arial" w:hAnsi="Arial"/>
          <w:sz w:val="17"/>
          <w:szCs w:val="17"/>
          <w:b w:val="1"/>
          <w:bCs w:val="1"/>
          <w:color w:val="auto"/>
        </w:rPr>
        <w:t xml:space="preserve"> </w:t>
      </w:r>
      <w:r>
        <w:rPr>
          <w:rFonts w:ascii="Arial" w:cs="Arial" w:eastAsia="Arial" w:hAnsi="Arial"/>
          <w:sz w:val="17"/>
          <w:szCs w:val="17"/>
          <w:color w:val="auto"/>
        </w:rPr>
        <w:t>the AMEX, NYSE, or NASDAQ Merriman shall earn a special incentive bonus of 60,000 unregistered OPRX shares. The Company agrees to issue these shares immediately upon the completion of the up-listing and file a registration statement covering this Special Incentive Bonus stock within 30 days of issuance, or concurrent with the registration of shares in Section (2) above, at the Company's discretion. It is also understood that these shares are to be granted expressly for the successful completion of the service described in Section 1(h) above and without regard to any of the other agreed services in Section 1 (a)-(g).</w:t>
      </w:r>
    </w:p>
    <w:p>
      <w:pPr>
        <w:spacing w:after="0" w:line="173"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Merriman representation is on a non-exclusive basis and will continue for a period of Twelve (12) months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execution of this agreement. Merriman may terminate the relationship at any time upon thirty (30) days written notice to the Company, provided, however, that if such termination is without cause, Merriman shall return a portion of the fee received equal to the pro-rata portion of the term remaining. Termination may occur at the request of the Company with thirty days written notice with the understanding that all payments are non-refundable and there is no credit due to the Company. If the Company should request termination with at least 30 days written notice before the second payment is due on August 15, 2015, the Company will not be required to make said payment and this agreement will be terminated without further obligation by either Merriman or the Company.</w:t>
      </w:r>
    </w:p>
    <w:p>
      <w:pPr>
        <w:spacing w:after="0" w:line="172"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 of Engagement</w:t>
      </w:r>
      <w:r>
        <w:rPr>
          <w:rFonts w:ascii="Arial" w:cs="Arial" w:eastAsia="Arial" w:hAnsi="Arial"/>
          <w:sz w:val="18"/>
          <w:szCs w:val="18"/>
          <w:b w:val="1"/>
          <w:bCs w:val="1"/>
          <w:color w:val="auto"/>
        </w:rPr>
        <w:t xml:space="preserve">. </w:t>
      </w:r>
      <w:r>
        <w:rPr>
          <w:rFonts w:ascii="Arial" w:cs="Arial" w:eastAsia="Arial" w:hAnsi="Arial"/>
          <w:sz w:val="18"/>
          <w:szCs w:val="18"/>
          <w:color w:val="auto"/>
        </w:rPr>
        <w:t>Merriman has been engaged by the Company only in connection with the matters described in this letter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no other purpose. Merriman shall not be required to render any advice or reports in writing or to perform any other services outside of the scope of services described in Section (1). We have not made, and will assume no responsibility to make, any representation in connection with our engagement as to any legal matter.</w:t>
      </w:r>
    </w:p>
    <w:p>
      <w:pPr>
        <w:spacing w:after="0" w:line="180" w:lineRule="exact"/>
        <w:rPr>
          <w:rFonts w:ascii="Arial" w:cs="Arial" w:eastAsia="Arial" w:hAnsi="Arial"/>
          <w:sz w:val="18"/>
          <w:szCs w:val="18"/>
          <w:color w:val="auto"/>
        </w:rPr>
      </w:pPr>
    </w:p>
    <w:p>
      <w:pPr>
        <w:jc w:val="both"/>
        <w:ind w:left="1300" w:hanging="644"/>
        <w:spacing w:after="0" w:line="258"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Provided to Merriman</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engagement, the Company has agreed to furnish to Merriman, on a timely</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relevant information needed by Merriman to perform its services under the terms of this agreement. We do not assume any responsibility for the accuracy, completeness or fairness of the information and data supplied to us by the Company or its representatives. In addition, the Company acknowledges that we will assume without independent verification that all information supplied to us with respect to the Company will be true, correct and complete in all material respects.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7" w:lineRule="exact"/>
        <w:rPr>
          <w:sz w:val="20"/>
          <w:szCs w:val="20"/>
          <w:color w:val="auto"/>
        </w:rPr>
      </w:pPr>
    </w:p>
    <w:p>
      <w:pPr>
        <w:ind w:left="1300" w:hanging="644"/>
        <w:spacing w:after="0" w:line="347"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Indemnity and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to the terms of Merriman's standard indemnification agreement, which is attached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as Appendix A and incorporated herein by reference. The provisions of this paragraph shall survive any termination of this agreement.</w:t>
      </w:r>
    </w:p>
    <w:p>
      <w:pPr>
        <w:spacing w:after="0" w:line="116" w:lineRule="exact"/>
        <w:rPr>
          <w:rFonts w:ascii="Arial" w:cs="Arial" w:eastAsia="Arial" w:hAnsi="Arial"/>
          <w:sz w:val="16"/>
          <w:szCs w:val="16"/>
          <w:color w:val="auto"/>
        </w:rPr>
      </w:pPr>
    </w:p>
    <w:p>
      <w:pPr>
        <w:jc w:val="both"/>
        <w:ind w:left="1300" w:hanging="644"/>
        <w:spacing w:after="0" w:line="261"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Merriman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Merriman is a full service securities firm engaged in securities trading and brokerage activities,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research, investment banking and financial advisory services. Nothing herein contained shall be construed to limit or restrict Merriman in conducting such business with respect to others, or in rendering any advice to others, except in matters relating to the Company's business that are deemed confidential by a separate written agreement.</w:t>
      </w:r>
    </w:p>
    <w:p>
      <w:pPr>
        <w:spacing w:after="0" w:line="180"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this engagement, the Company and Merriman will comply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foreign securities laws and other applicable laws and regulations.</w:t>
      </w:r>
    </w:p>
    <w:p>
      <w:pPr>
        <w:spacing w:after="0" w:line="161"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Independent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Merriman is an independent contractor. Merriman shall have no liability as a result of this agreement and no</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bind or act for the Company in any respect. It is understood that Merriman's responsibility to the Company is solely contractual in nature and that Merriman does not owe the Company, or any other party, any fiduciary duty as a result of its engagement.</w:t>
      </w:r>
    </w:p>
    <w:p>
      <w:pPr>
        <w:spacing w:after="0" w:line="142" w:lineRule="exact"/>
        <w:rPr>
          <w:rFonts w:ascii="Arial" w:cs="Arial" w:eastAsia="Arial" w:hAnsi="Arial"/>
          <w:sz w:val="16"/>
          <w:szCs w:val="16"/>
          <w:color w:val="auto"/>
        </w:rPr>
      </w:pPr>
    </w:p>
    <w:p>
      <w:pPr>
        <w:jc w:val="both"/>
        <w:ind w:left="1300" w:hanging="644"/>
        <w:spacing w:after="0" w:line="26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Announcements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grants Merriman Capital the right to make public announcements of this engagement and to place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announcements in certain newspapers and/or to mail announcements to persons and firms selected by Merriman at our discretion, with all costs of such announcements to be borne by Merriman.</w:t>
      </w:r>
    </w:p>
    <w:p>
      <w:pPr>
        <w:spacing w:after="0" w:line="176"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color w:val="auto"/>
        </w:rPr>
        <w:t>. This agreement shall be governed by and construed under the laws of the State of California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to be performed entirely within the State of California. Any disputes shall be determined by recourse to the federal and state courts located binding arbitration in the City and County of San Francisco This clause shall not preclude parties from seeking provisional remedies in aid of arbitration from a court of appropriate jurisdiction. Each party will bear its own costs for litigation. The prevailing party in litigation arbitration shall be entitled to reasonable attorneys' fees. The provisions of this paragraph shall survive any termination of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jc w:val="both"/>
        <w:ind w:left="1300" w:hanging="644"/>
        <w:spacing w:after="0" w:line="270"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letter agreement will be valid unless modifications are made in writing and signed by both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Section headings used in this letter agreement are for convenience only, are not a part of this letter agreement and will not be used in construing any of the terms hereof. This letter agreement constitutes and embodies the entire understanding and agreement of the parties hereto relating to the subject matter hereof, and there are no other agreements or understandings, written or oral, in effect between the parties relating to the subject matter hereof. No representation, promise, inducement or statement of intention has been made by either of the parties hereto which is to be embodied in this letter agreement, and none of the parties hereto shall be bound by or liable for any alleged representation, promise, inducement or statement of intention, not so set forth herein. No provision of this letter agreement shall be construed in favor of or against either of the parties hereto by reason of the extent to which either of the parties or its counsel participated in the drafting hereof, if any provision of this letter agreement is held by a court of competent jurisdiction to be invalid, illegal or unenforceable, the remaining provisions hereof shall in no way be affected and shall remain in full force and effect. This letter agreement may be executed in any number of counterparts and by facsimile signature.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INTENTIONALLY LEFT BLANK}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the foregoing correctly sets forth your understanding of the agreement, please sign the enclosed copy of this letter and return it to Merriman.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MERRIMAN CAPITAL, INC.</w:t>
      </w:r>
    </w:p>
    <w:p>
      <w:pPr>
        <w:spacing w:after="0" w:line="20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 Merriman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6350</wp:posOffset>
            </wp:positionV>
            <wp:extent cx="26073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Jon Merriman</w:t>
      </w:r>
    </w:p>
    <w:p>
      <w:pPr>
        <w:spacing w:after="0" w:line="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undersigned hereby accepts, agrees to and becomes party to the foregoing letter agreement, effective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419"/>
        </w:trPr>
        <w:tc>
          <w:tcPr>
            <w:tcW w:w="138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David Harrell</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CEO</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Effective Date:</w:t>
            </w:r>
          </w:p>
        </w:tc>
        <w:tc>
          <w:tcPr>
            <w:tcW w:w="3420" w:type="dxa"/>
            <w:vAlign w:val="bottom"/>
          </w:tcPr>
          <w:p>
            <w:pPr>
              <w:spacing w:after="0"/>
              <w:rPr>
                <w:sz w:val="20"/>
                <w:szCs w:val="20"/>
                <w:color w:val="auto"/>
              </w:rPr>
            </w:pPr>
            <w:r>
              <w:rPr>
                <w:rFonts w:ascii="Arial" w:cs="Arial" w:eastAsia="Arial" w:hAnsi="Arial"/>
                <w:sz w:val="18"/>
                <w:szCs w:val="18"/>
                <w:color w:val="auto"/>
              </w:rPr>
              <w:t>2/27/15</w:t>
            </w:r>
          </w:p>
        </w:tc>
      </w:tr>
    </w:tbl>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ind w:right="-559"/>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877" w:right="7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 — INDEMNIFICATION AGREEMENT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agrees to indemnify and hold harmless Merriman and its officers, directors, employees, consultants, attorneys, agents, affiliates, parent company and controlling persons (within the meaning of Section 15 of the Securities Act of 1933, as amended, or Section 20 of the Securities Exchange Act of 1934, as amended) (Merriman and each such other persons are collectively and individually referred to below as an "Indemnified Party") from and against any and all loss, claim, damage, liability and expense whatsoever, as incurred, including, without limitation, reasonable costs of any investigation, legal and other fees and expenses incurred in connection with, and any amounts paid in settlement of, any action, suit or proceeding or any claim asserted, to which the Indemnified Party may become subject under any applicable federal or state law (whether in tort, contract or on any other basis) or otherwise, (i) arising out of or based upon any untrue statement or alleged untrue statement of a material fact contained in any written or oral communication provided by or on behalf of the Company to any actual or prospective purchaser of the securities or arising out of or based upon the omission or alleged omission to state therein a material fact required to be stated therein or necessary in order to make the statements therein, in light of the circumstances under which they were made, not misleading or (ii) related to the performance by the Indemnified Party of the services contemplated by this letter agreement (including, without limitation, the offer and sale of the securities) and will reimburse the Indemnified Party for all expenses (including legal fees and expenses) in connection with the investigation of, preparation for or defense of any pending or threatened claim or any action or proceeding arising therefrom, whether or not the Indemnified Party is a party and whether or not such claim, action or proceeding is initiated or brought by the Company. The Company will not be liable under clause (ii) of the foregoing indemnification provision to the extent that any loss, claim, damage, liability or expense is found in a final judgment by a court or arbitrator, not subject to appeal or further appeal, to have resulted directly from the Indemnified Party's willful misconduct or gross negligence. The Company also agrees that the Indemnified Party shall have no liability (whether direct or indirect, in contract, tort or otherwise) to the Company related to, or arising out of, the engagement of the Indemnified Party pursuant to, or the performance by the Indemnified Party of the services contemplated by, this letter agreement except to the extent that any loss, claim, damage, liability or expense is found in a final judgment by a court or arbitrator, not subject to appeal or further appeal, to have resulted directly from the Indemnified Party's willful misconduct or gross negligence.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indemnity provided above shall be unenforceable or unavailable for any reason whatsoever, the Company, its successors and assigns, and the Indemnified Party shall contribute to all such losses, claims, damages, liabilities and expenses (including, without limitation, all costs of any investigation, legal or other fees and expenses incurred in connection with, and any amounts paid in settlement of, any action, suit or proceeding or any claim asserted) (i) in such proportion as is appropriate to reflect the relative benefits received by the Company and Merriman under the terms of this letter agreement or (ii) if the allocation provided for by clause</w:t>
      </w:r>
    </w:p>
    <w:p>
      <w:pPr>
        <w:spacing w:after="0" w:line="188" w:lineRule="exact"/>
        <w:rPr>
          <w:sz w:val="20"/>
          <w:szCs w:val="20"/>
          <w:color w:val="auto"/>
        </w:rPr>
      </w:pPr>
    </w:p>
    <w:p>
      <w:pPr>
        <w:jc w:val="both"/>
        <w:ind w:firstLine="8"/>
        <w:spacing w:after="0" w:line="26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of this sentence is not permitted by applicable law, in such proportion as is appropriate to reflect not only the relative benefits referred to in clause (i), but also the relative fault of the Company and Merriman in connection with the matter(s) as to which contribution is to be made. The relative benefits received by the Company and Merriman shall be deemed to be in the same proportion as the fee the Company actually pays to Merriman bears to the total value of the consideration paid or to be paid to the Company. The relative fault of the Company and Merriman shall be determined by reference to, among other things, whether any untrue or alleged untrue statement of material fact or omission or alleged omission to state a material fact relates to information supplied by the Company or by Merriman and the Company's and Merriman's relative intent, knowledge, access to information and opportunity to correct. The Company and Merriman agree that it would not be just or equitable if contribution pursuant to this paragraph were determined by pro rata allocation or by any other method of allocation which does not take into account these equitable considerations. Notwithstanding the foregoing, to the extent permitted by law, in no event shall the Indemnified Party's share of such losses, claims, damages, liabilities and expenses exceed, in the aggregate, the fee actually paid to the Indemnified Party by the Company. The Company further agrees that, without Merriman's prior written consent, which consent will not be unreasonably withheld, it will not enter into any settlement of a lawsuit, claim or other proceeding arising out of the transactions contemplated by this agreement unless such settlement includes an explicit and unconditional release from the party bringing such lawsuit, claim or other proceeding of all such lawsuits, claims, or other proceedings against the Indemnified Parties.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8</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Indemnified Party will give prompt written notice to the Company of any claim for which it seeks indemnification hereunder, but the omission to so notify the Company will not relieve the Company from any liability which it may otherwise have hereunder except to the extent that the Company is damaged or prejudiced by such omission or from any liability it may have other than under this Appendix A. The Company shall have the right to assume the defense of any claim, lawsuit or action (collectively an "action") for which the Indemnified Party seeks indemnification hereunder, subject to the provisions stated herein with counsel reasonably satisfactory to the Indemnified Party. After notice from the Company to the Indemnified Party of its election to assume the defense thereof, and so long as the Company performs its obligations pursuant to such election, the Company will not be liable to the Indemnified Party for any legal or other expenses subsequently incurred by the Indemnified Party in connection with the defense thereof other than reasonable costs of investigation. The Indemnified Party shall have the right to employ separate counsel in any such action and to participate in the defense thereof at its own expense; provided, however, that the reasonable fees and expenses of such counsel shall be at the expense of the Company if (1) the employment thereof has been specifically authorized by the Company in writing, (ii) the Company has failed after a reasonable period of time to assume such defense and to employ counsel or (iii) the named parties to any such action (including any impleaded parties) include both the Indemnified Party and the Company and the Indemnified Party shall have reasonably concluded, based on advice of counsel, that there may be legal defenses available to the Indemnified Party which are different from, or in conflict with, any legal defenses which may be available to the Company (in which event the Company shall not have the right to assume the defense of such action on behalf of the Indemnified Party, it being understood, however, that the Company shall not be liable for the reasonable fees and expenses of more than one separate firm of attorneys for all Indemnified Parties in each jurisdiction in which counsel is needed). Despite the foregoing, the Indemnified Party shall not settle any claim without the prior written approval of the Company, which approval shall not be unreasonably withheld, so long as the Company is not in material breach of this Appendix A. Also, each Indemnified Party shall make reasonable efforts to mitigate its losses and liabilities. In addition to the Company's other obligations hereunder and without limitation, the Company agrees to pay monthly, upon receipt of itemized statements therefor, all reasonable fees and expenses of counsel incurred by an Indemnified Party in defending any claim of the type set forth in the preceding paragraphs or in producing documents, assisting in answering any interrogatories, giving any deposition testimony or otherwise becoming involved in any action or response to any claim relating to the engagement referred to herein, or any of the matters enumerated in the preceding paragraphs, whether or not any claim is made against an Indemnified Party or an Indemnified Party is named as a party to any such action.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MONTGOMERY STREET - 16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LOOR</w:t>
      </w:r>
      <w:r>
        <w:rPr>
          <w:rFonts w:ascii="Arial" w:cs="Arial" w:eastAsia="Arial" w:hAnsi="Arial"/>
          <w:sz w:val="18"/>
          <w:szCs w:val="18"/>
          <w:b w:val="1"/>
          <w:bCs w:val="1"/>
          <w:color w:val="auto"/>
        </w:rPr>
        <w:t xml:space="preserve"> ■ S</w:t>
      </w:r>
      <w:r>
        <w:rPr>
          <w:rFonts w:ascii="Arial" w:cs="Arial" w:eastAsia="Arial" w:hAnsi="Arial"/>
          <w:sz w:val="12"/>
          <w:szCs w:val="12"/>
          <w:b w:val="1"/>
          <w:bCs w:val="1"/>
          <w:color w:val="auto"/>
        </w:rPr>
        <w:t>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RANCISCO</w:t>
      </w:r>
      <w:r>
        <w:rPr>
          <w:rFonts w:ascii="Arial" w:cs="Arial" w:eastAsia="Arial" w:hAnsi="Arial"/>
          <w:sz w:val="18"/>
          <w:szCs w:val="18"/>
          <w:b w:val="1"/>
          <w:bCs w:val="1"/>
          <w:color w:val="auto"/>
        </w:rPr>
        <w:t>, CA 94104</w:t>
      </w:r>
    </w:p>
    <w:p>
      <w:pPr>
        <w:jc w:val="center"/>
        <w:spacing w:after="0"/>
        <w:rPr>
          <w:sz w:val="20"/>
          <w:szCs w:val="20"/>
          <w:color w:val="auto"/>
        </w:rPr>
      </w:pPr>
      <w:r>
        <w:rPr>
          <w:rFonts w:ascii="Arial" w:cs="Arial" w:eastAsia="Arial" w:hAnsi="Arial"/>
          <w:sz w:val="18"/>
          <w:szCs w:val="18"/>
          <w:b w:val="1"/>
          <w:bCs w:val="1"/>
          <w:color w:val="auto"/>
        </w:rPr>
        <w:t>1 (800) 909-7897 MAIN ■ (415) 248-5690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3439160" cy="823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30, 2015, with respect to the financial statements of OptimizeRx Corporation in its registration statement Form S-/A relating to the registration of 954,139 shares of common stock. We also consent to the reference of our firm under the caption “interest of named experts and counsel” in the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Minnesota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June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008000"/>
        </w:rPr>
        <w:t>1660 Highway 100 South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8000"/>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8000"/>
        </w:rPr>
        <w:t>St. Louis Park, MN 55416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8000"/>
        </w:rPr>
        <w:t>630.277.2330</w:t>
      </w:r>
    </w:p>
    <w:p>
      <w:pPr>
        <w:sectPr>
          <w:pgSz w:w="11900" w:h="16838" w:orient="portrait"/>
          <w:cols w:equalWidth="0" w:num="1">
            <w:col w:w="11420"/>
          </w:cols>
          <w:pgMar w:left="240" w:top="11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23.2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29,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hereby consents to the use in the Form S-1/A Amendment No.1, Registration Statement under the Securities Act of 1933, filed by OptimizeRx Corporation of our report dated March 20, 2014, relating to the consolidated financial statements of OptimizeRx Corporation, a Nevada Corporation, as of and for the year ending December 31, 2013, and the reference to us under the caption “Interests of Named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Roman"/>
      <w:start w:val="2"/>
    </w:lvl>
  </w:abstractNum>
  <w:abstractNum w:abstractNumId="10">
    <w:nsid w:val="1E7FF521"/>
    <w:multiLevelType w:val="hybridMultilevel"/>
    <w:lvl w:ilvl="0">
      <w:lvlJc w:val="left"/>
      <w:lvlText w:val="%1."/>
      <w:numFmt w:val="decimal"/>
      <w:start w:val="4"/>
    </w:lvl>
  </w:abstractNum>
  <w:abstractNum w:abstractNumId="11">
    <w:nsid w:val="7C3DBD3D"/>
    <w:multiLevelType w:val="hybridMultilevel"/>
    <w:lvl w:ilvl="0">
      <w:lvlJc w:val="left"/>
      <w:lvlText w:val="%1."/>
      <w:numFmt w:val="decimal"/>
      <w:start w:val="7"/>
    </w:lvl>
  </w:abstractNum>
  <w:abstractNum w:abstractNumId="12">
    <w:nsid w:val="737B8DDC"/>
    <w:multiLevelType w:val="hybridMultilevel"/>
    <w:lvl w:ilvl="0">
      <w:lvlJc w:val="left"/>
      <w:lvlText w:val="%1."/>
      <w:numFmt w:val="lowerRoman"/>
      <w:start w:val="2"/>
    </w:lvl>
  </w:abstractNum>
  <w:abstractNum w:abstractNumId="13">
    <w:nsid w:val="6CEAF087"/>
    <w:multiLevelType w:val="hybridMultilevel"/>
    <w:lvl w:ilvl="0">
      <w:lvlJc w:val="left"/>
      <w:lvlText w:val="%1."/>
      <w:numFmt w:val="decimal"/>
      <w:start w:val="8"/>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7"/>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bullet"/>
      <w:start w:val="1"/>
    </w:lvl>
  </w:abstractNum>
  <w:abstractNum w:abstractNumId="33">
    <w:nsid w:val="70A64E2A"/>
    <w:multiLevelType w:val="hybridMultilevel"/>
    <w:lvl w:ilvl="0">
      <w:lvlJc w:val="left"/>
      <w:lvlText w:val="2"/>
      <w:numFmt w:val="bullet"/>
      <w:start w:val="1"/>
    </w:lvl>
  </w:abstractNum>
  <w:abstractNum w:abstractNumId="34">
    <w:nsid w:val="6A2342EC"/>
    <w:multiLevelType w:val="hybridMultilevel"/>
    <w:lvl w:ilvl="0">
      <w:lvlJc w:val="left"/>
      <w:lvlText w:val="3"/>
      <w:numFmt w:val="bullet"/>
      <w:start w:val="1"/>
    </w:lvl>
  </w:abstractNum>
  <w:abstractNum w:abstractNumId="35">
    <w:nsid w:val="2A487CB0"/>
    <w:multiLevelType w:val="hybridMultilevel"/>
    <w:lvl w:ilvl="0">
      <w:lvlJc w:val="left"/>
      <w:lvlText w:val="4"/>
      <w:numFmt w:val="bullet"/>
      <w:start w:val="1"/>
    </w:lvl>
  </w:abstractNum>
  <w:abstractNum w:abstractNumId="36">
    <w:nsid w:val="1D4ED43B"/>
    <w:multiLevelType w:val="hybridMultilevel"/>
    <w:lvl w:ilvl="0">
      <w:lvlJc w:val="left"/>
      <w:lvlText w:val="5"/>
      <w:numFmt w:val="bullet"/>
      <w:start w:val="1"/>
    </w:lvl>
  </w:abstractNum>
  <w:abstractNum w:abstractNumId="37">
    <w:nsid w:val="725A06FB"/>
    <w:multiLevelType w:val="hybridMultilevel"/>
    <w:lvl w:ilvl="0">
      <w:lvlJc w:val="left"/>
      <w:lvlText w:val="6"/>
      <w:numFmt w:val="bullet"/>
      <w:start w:val="1"/>
    </w:lvl>
  </w:abstractNum>
  <w:abstractNum w:abstractNumId="38">
    <w:nsid w:val="2CD89A32"/>
    <w:multiLevelType w:val="hybridMultilevel"/>
    <w:lvl w:ilvl="0">
      <w:lvlJc w:val="left"/>
      <w:lvlText w:val="7"/>
      <w:numFmt w:val="bullet"/>
      <w:start w:val="1"/>
    </w:lvl>
  </w:abstractNum>
  <w:abstractNum w:abstractNumId="39">
    <w:nsid w:val="57E4CCAF"/>
    <w:multiLevelType w:val="hybridMultilevel"/>
    <w:lvl w:ilvl="0">
      <w:lvlJc w:val="left"/>
      <w:lvlText w:val="8"/>
      <w:numFmt w:val="bullet"/>
      <w:start w:val="1"/>
    </w:lvl>
  </w:abstractNum>
  <w:abstractNum w:abstractNumId="40">
    <w:nsid w:val="7A6D8D3C"/>
    <w:multiLevelType w:val="hybridMultilevel"/>
    <w:lvl w:ilvl="0">
      <w:lvlJc w:val="left"/>
      <w:lvlText w:val="9"/>
      <w:numFmt w:val="bullet"/>
      <w:start w:val="1"/>
    </w:lvl>
  </w:abstractNum>
  <w:abstractNum w:abstractNumId="41">
    <w:nsid w:val="4B588F54"/>
    <w:multiLevelType w:val="hybridMultilevel"/>
    <w:lvl w:ilvl="0">
      <w:lvlJc w:val="left"/>
      <w:lvlText w:val="%1"/>
      <w:numFmt w:val="decimal"/>
      <w:start w:val="10"/>
    </w:lvl>
  </w:abstractNum>
  <w:abstractNum w:abstractNumId="42">
    <w:nsid w:val="542289EC"/>
    <w:multiLevelType w:val="hybridMultilevel"/>
    <w:lvl w:ilvl="0">
      <w:lvlJc w:val="left"/>
      <w:lvlText w:val="(%1)"/>
      <w:numFmt w:val="lowerLetter"/>
      <w:start w:val="1"/>
    </w:lvl>
    <w:lvl w:ilvl="1">
      <w:lvlJc w:val="left"/>
      <w:lvlText w:val="(%2)"/>
      <w:numFmt w:val="lowerRoman"/>
      <w:start w:val="1"/>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2"/>
    </w:lvl>
  </w:abstractNum>
  <w:abstractNum w:abstractNumId="47">
    <w:nsid w:val="684A481A"/>
    <w:multiLevelType w:val="hybridMultilevel"/>
    <w:lvl w:ilvl="0">
      <w:lvlJc w:val="left"/>
      <w:lvlText w:val="%1."/>
      <w:numFmt w:val="decimal"/>
      <w:start w:val="7"/>
    </w:lvl>
  </w:abstractNum>
  <w:abstractNum w:abstractNumId="48">
    <w:nsid w:val="579478FE"/>
    <w:multiLevelType w:val="hybridMultilevel"/>
    <w:lvl w:ilvl="0">
      <w:lvlJc w:val="left"/>
      <w:lvlText w:val="%1."/>
      <w:numFmt w:val="decimal"/>
      <w:start w:val="13"/>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2019-12-08T20:54:17Z</dcterms:created>
  <dcterms:modified xsi:type="dcterms:W3CDTF">2019-12-08T20:54:17Z</dcterms:modified>
</cp:coreProperties>
</file>