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333-252844</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FF0000"/>
        </w:rPr>
        <w:t>This preliminary prospectus supplement relates to an effective registration statement under the Securities Act of 1933, as amended, but is not complete and may be changed. This preliminary prospectus supplement and the accompanying prospectus do not constitute an offer to sell these securities and we are not soliciting an offer to buy these securities in any jurisdiction where the offer or sale is not permitted.</w:t>
      </w:r>
    </w:p>
    <w:p>
      <w:pPr>
        <w:spacing w:after="0" w:line="17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FF0000"/>
        </w:rPr>
        <w:t>SUBJECT TO COMPLETION, DATED FEBRUARY 8, 2021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8, 2021)</w:t>
      </w:r>
    </w:p>
    <w:p>
      <w:pPr>
        <w:spacing w:after="0" w:line="20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ind w:left="660"/>
        <w:spacing w:after="0"/>
        <w:tabs>
          <w:tab w:leader="none" w:pos="7540" w:val="left"/>
        </w:tabs>
        <w:rPr>
          <w:sz w:val="20"/>
          <w:szCs w:val="20"/>
          <w:color w:val="auto"/>
        </w:rPr>
      </w:pPr>
      <w:r>
        <w:rPr>
          <w:rFonts w:ascii="Times New Roman" w:cs="Times New Roman" w:eastAsia="Times New Roman" w:hAnsi="Times New Roman"/>
          <w:sz w:val="18"/>
          <w:szCs w:val="18"/>
          <w:color w:val="auto"/>
        </w:rPr>
        <w:t>This is a public offering of common stock of OptimizeRx Corporation. We are offering</w:t>
      </w:r>
      <w:r>
        <w:rPr>
          <w:sz w:val="20"/>
          <w:szCs w:val="20"/>
          <w:color w:val="auto"/>
        </w:rPr>
        <w:tab/>
      </w:r>
      <w:r>
        <w:rPr>
          <w:rFonts w:ascii="Times New Roman" w:cs="Times New Roman" w:eastAsia="Times New Roman" w:hAnsi="Times New Roman"/>
          <w:sz w:val="17"/>
          <w:szCs w:val="17"/>
          <w:color w:val="auto"/>
        </w:rPr>
        <w:t>shares of our common stock. Our common stock is</w:t>
      </w:r>
    </w:p>
    <w:p>
      <w:pPr>
        <w:spacing w:after="0" w:line="27"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listed on the Nasdaq Capital Market under the symbol “OPRX.” On February 5, 2021, the last reported sale price of our common stock on the Nasdaq Capital Market was $51.96 per share.</w:t>
      </w:r>
    </w:p>
    <w:p>
      <w:pPr>
        <w:spacing w:after="0" w:line="177" w:lineRule="exact"/>
        <w:rPr>
          <w:sz w:val="24"/>
          <w:szCs w:val="24"/>
          <w:color w:val="auto"/>
        </w:rPr>
      </w:pPr>
    </w:p>
    <w:p>
      <w:pPr>
        <w:ind w:firstLine="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common stock involves a high degree of risk. See “Risk Factors” beginning on page </w:t>
      </w:r>
      <w:hyperlink w:anchor="page7">
        <w:r>
          <w:rPr>
            <w:rFonts w:ascii="Times New Roman" w:cs="Times New Roman" w:eastAsia="Times New Roman" w:hAnsi="Times New Roman"/>
            <w:sz w:val="18"/>
            <w:szCs w:val="18"/>
            <w:b w:val="1"/>
            <w:bCs w:val="1"/>
            <w:u w:val="single" w:color="auto"/>
            <w:color w:val="0000EE"/>
          </w:rPr>
          <w:t>S-3</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of this prospectus supplement and in the documents incorporated by reference in this prospectus supplement.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8680" w:type="dxa"/>
            <w:vAlign w:val="bottom"/>
          </w:tcPr>
          <w:p>
            <w:pPr>
              <w:spacing w:after="0"/>
              <w:rPr>
                <w:sz w:val="23"/>
                <w:szCs w:val="2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22"/>
                <w:szCs w:val="22"/>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proceeds, before expenses</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198" w:lineRule="exact"/>
        <w:rPr>
          <w:sz w:val="24"/>
          <w:szCs w:val="24"/>
          <w:color w:val="auto"/>
        </w:rPr>
      </w:pPr>
    </w:p>
    <w:p>
      <w:pPr>
        <w:ind w:left="400" w:hanging="392"/>
        <w:spacing w:after="0" w:line="282" w:lineRule="auto"/>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refer you to the section entitled “Underwriting” beginning on page </w:t>
      </w:r>
      <w:hyperlink w:anchor="page17">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prospectus supplement for a description of the compensation to be received by the underwriters.</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underwriters the option to purchase up to additional shares of our common stock from us at the public offering price, less underwriting discounts and commissions. The underwriters can exercise this option at any time within 30 days following the date of this prospectus supplement</w:t>
      </w:r>
    </w:p>
    <w:p>
      <w:pPr>
        <w:spacing w:after="0" w:line="172"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to investors in book-entry form through the facilities of The Depository Trust Company on or about February , 2021.</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7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William Blair</w:t>
            </w:r>
          </w:p>
        </w:tc>
        <w:tc>
          <w:tcPr>
            <w:tcW w:w="40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RBC Capital Markets</w:t>
            </w:r>
          </w:p>
        </w:tc>
      </w:tr>
      <w:tr>
        <w:trPr>
          <w:trHeight w:val="420"/>
        </w:trPr>
        <w:tc>
          <w:tcPr>
            <w:tcW w:w="72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The date of this prospectus supplement is February</w:t>
            </w:r>
          </w:p>
        </w:tc>
        <w:tc>
          <w:tcPr>
            <w:tcW w:w="4000" w:type="dxa"/>
            <w:vAlign w:val="bottom"/>
          </w:tcPr>
          <w:p>
            <w:pPr>
              <w:jc w:val="right"/>
              <w:ind w:right="3361"/>
              <w:spacing w:after="0"/>
              <w:rPr>
                <w:sz w:val="20"/>
                <w:szCs w:val="20"/>
                <w:color w:val="auto"/>
              </w:rPr>
            </w:pPr>
            <w:r>
              <w:rPr>
                <w:rFonts w:ascii="Times New Roman" w:cs="Times New Roman" w:eastAsia="Times New Roman" w:hAnsi="Times New Roman"/>
                <w:sz w:val="18"/>
                <w:szCs w:val="18"/>
                <w:color w:val="auto"/>
              </w:rPr>
              <w:t>, 2021</w:t>
            </w:r>
          </w:p>
        </w:tc>
      </w:tr>
      <w:tr>
        <w:trPr>
          <w:trHeight w:val="682"/>
        </w:trPr>
        <w:tc>
          <w:tcPr>
            <w:tcW w:w="7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4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9"/>
        </w:trPr>
        <w:tc>
          <w:tcPr>
            <w:tcW w:w="102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Cautionary Statement Regarding Forward-Looking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Risk Factors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Use of Proceeds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S-5</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Dividend Policy</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S-5</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Capitalization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S-6</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Dilution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Underwriting</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Legal Matters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Experts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Where You Can Find More Information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Incorporation of Certain Information by Reference</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0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w:t>
              </w:r>
            </w:hyperlink>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PROSPECTUS SUMMARY</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RISK FACTORS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CAUTIONARY STATEMENT REGARDING FORWARD-LOOKING STATEMENTS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USE OF PROCEEDS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THE SECURITIES WE MAY OFFER</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DESCRIPTION OF CAPITAL STOCK</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DESCRIPTION OF DEBT SECURITIES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WARRANTS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DESCRIPTION OF UNITS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SELLING STOCKHOLDERS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PLAN OF DISTRIBUTION</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LEGAL MATTERS</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EXPERTS</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WHERE YOU CAN FIND MORE INFORMATION</w:t>
              </w:r>
            </w:hyperlink>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34"/>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INCORPORATION OF CERTAIN INFORMATION BY REFERENCE</w:t>
              </w:r>
            </w:hyperlink>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February 8, 2021, including the documents incorporated by reference therein, provides more general information about us and our securities.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or in the accompanying prospectus), the statement in the document having the later date modifies or supersedes the earlier statement.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different from that contained or incorporated by reference in this prospectus supplement, the accompanying prospectus or in any free writing prospectus prepared by us or on our behalf that we have authorized for use in connection with this offering. We do not take any responsibility for, nor can we provide any assurance as to the reliability of, any information other than the information contained or incorporated by reference in this prospectus supplement, the accompanying prospectus or any free writing prospectus prepared by us or on our behalf that we have authorized for use in connection with this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assume that the information contained or incorporated by reference in this prospectus supplement, the accompanying prospectus or in any free writing prospectus prepared by us or on our behalf that we have authorized for use in connection with this offering is accurate only as of the date of those respective documents. Our business, financial condition, liquidity, results of operations and prospects may have changed since those dates. You should read this prospectus supplement, the accompanying prospectus, and any free writing prospectus prepared by or on behalf of us that we have authorized for use in connection with this offering, together with the information we incorporate by reference herein and therein, including the additional information described in the sections of this prospectus supplement and the accompanying prospectus entitled “Where You Can Find More Information” and “Incorporation of Certain Information by Reference,”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investors outside of the United States, we have not done anything that would permit the offering, possession or distribution of this prospectus supplement or the accompanying prospectus in any jurisdiction where action for that purpose is required, other than in the United States. You are required to inform yourself about and to observe any restrictions relating to the offering, possession or the distribution of this prospectus supplement outside of the United States. The securities offered by this prospectus supplement and the accompanying prospectus may not be offered or sold, directly or indirectly, nor may this prospectus supplement and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where the context requires otherwise, references in this prospectus supplement to “OptimizeRx,” “the Company,” “we,” “us” and “our” refer to OptimizeRx Corporation, a Nevada corporation, together with its subsidiaries.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or therein contain forward-looking statements within the meaning of Section 27A of the Securities Act of 1933, as amended, or the Securities Act, and Section 21E of the Securities Exchange Act of 1934, as amended, or the Exchange Act. Such statements contained in this prospectus supplement, the accompanying prospectus and the documents incorporated by reference herein or therein are based upon current expectations that involve risks and uncertainties. Any statements contained in this prospectus supplement, the accompanying prospectus and the documents incorporated by reference herein or therein that are not statements of historical fact may be deemed to be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competition within the industries in which we operate, the timing, cost and success or failure of new product and service introductions and developments, our ability to attract and retain qualified personnel, maintaining our intellectual property rights and litigation involving intellectual property rights, legislative, regulatory and economic developments, and those factors discussed under “Risk Factors” in this prospectus supplement, in addition to the other information set forth in this prospectus supplement, the accompanying prospectus and the documents incorporated by reference herein or therein. We claim the protection of the safe harbor for forward-looking statements contained in the Private Securities Litigation Reform Act of 1995 for all forward-looking statements. All forward-looking statements contained in this prospectus supplement, the accompanying prospectus and the documents incorporated by reference herein or therein are based on information available to us as of their respective dates and we assume no obligation to update any such forward-looking statements. Our actual results could differ materially from those anticipated in these forward-looking statements as a result of certain factors, including, but not limited to, those set forth under “Risk Factors” in this prospectus supplement and the accompanying prospectus, our Annual Report on Form 10-K for the year ended December 31, 2019 and in our other filings with the SEC. You should carefully consider the risks described under “Risk Factors” in this prospectus supplement, in addition to the other information set forth in this prospectus supplement, the accompanying prospectus and the documents incorporated by reference herein or therein, before making an investment decision.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01840" cy="423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1840" cy="4230370"/>
                    </a:xfrm>
                    <a:prstGeom prst="rect">
                      <a:avLst/>
                    </a:prstGeom>
                    <a:noFill/>
                  </pic:spPr>
                </pic:pic>
              </a:graphicData>
            </a:graphic>
          </wp:anchor>
        </w:drawing>
        <w:t>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contained in other parts of this prospectus supplement the accompanying prospectus and the documents incorporated by reference herein or therein.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applicable free writing prospectus and the documents incorporated by reference herein and therein. Investing in our securities involves risks that are described in this prospectus supplement under the heading “Risk Factors,” under the heading “Item 1A. Risk Factors” in our Annual Report on Form 10-K for the year ended December 31, 2019 and under similar headings in our other filings with the SEC.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Nevada corporation organized in September 2008. Our principal executive offices are located at 400 Water Street, Suite 200, Rochester, MI 48307, and our telephone number is (248) 651-6568. Our corporate website address is www.optimizerx.com. Information contained on or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01840" cy="5190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1840" cy="5190490"/>
                    </a:xfrm>
                    <a:prstGeom prst="rect">
                      <a:avLst/>
                    </a:prstGeom>
                    <a:noFill/>
                  </pic:spPr>
                </pic:pic>
              </a:graphicData>
            </a:graphic>
          </wp:anchor>
        </w:drawing>
        <w:t>THE OFFERING</w:t>
      </w:r>
    </w:p>
    <w:p>
      <w:pPr>
        <w:sectPr>
          <w:pgSz w:w="11900" w:h="16838" w:orient="portrait"/>
          <w:cols w:equalWidth="0" w:num="1">
            <w:col w:w="11000"/>
          </w:cols>
          <w:pgMar w:left="420" w:top="995" w:right="4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to purchase additional shares from the Company</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from the date of this prospectus supplement to purchase up to additional shares of our common stock.</w:t>
      </w:r>
    </w:p>
    <w:p>
      <w:pPr>
        <w:spacing w:after="0" w:line="162" w:lineRule="exact"/>
        <w:rPr>
          <w:sz w:val="20"/>
          <w:szCs w:val="20"/>
          <w:color w:val="auto"/>
        </w:rPr>
      </w:pPr>
    </w:p>
    <w:p>
      <w:pPr>
        <w:jc w:val="right"/>
        <w:spacing w:after="0"/>
        <w:tabs>
          <w:tab w:leader="none" w:pos="4360" w:val="left"/>
        </w:tabs>
        <w:rPr>
          <w:sz w:val="20"/>
          <w:szCs w:val="20"/>
          <w:color w:val="auto"/>
        </w:rPr>
      </w:pPr>
      <w:r>
        <w:rPr>
          <w:rFonts w:ascii="Times New Roman" w:cs="Times New Roman" w:eastAsia="Times New Roman" w:hAnsi="Times New Roman"/>
          <w:sz w:val="18"/>
          <w:szCs w:val="18"/>
          <w:color w:val="auto"/>
        </w:rPr>
        <w:t>shares, or</w:t>
      </w:r>
      <w:r>
        <w:rPr>
          <w:sz w:val="20"/>
          <w:szCs w:val="20"/>
          <w:color w:val="auto"/>
        </w:rPr>
        <w:tab/>
      </w:r>
      <w:r>
        <w:rPr>
          <w:rFonts w:ascii="Times New Roman" w:cs="Times New Roman" w:eastAsia="Times New Roman" w:hAnsi="Times New Roman"/>
          <w:sz w:val="18"/>
          <w:szCs w:val="18"/>
          <w:color w:val="auto"/>
        </w:rPr>
        <w:t>shares if the underwriters exercise their option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from the Company in full.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w:t>
      </w:r>
    </w:p>
    <w:p>
      <w:pPr>
        <w:spacing w:after="0" w:line="27" w:lineRule="exact"/>
        <w:rPr>
          <w:sz w:val="20"/>
          <w:szCs w:val="20"/>
          <w:color w:val="auto"/>
        </w:rPr>
      </w:pPr>
    </w:p>
    <w:p>
      <w:pPr>
        <w:jc w:val="both"/>
        <w:ind w:firstLine="3"/>
        <w:spacing w:after="0" w:line="253" w:lineRule="auto"/>
        <w:tabs>
          <w:tab w:leader="none" w:pos="7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187" w:lineRule="exact"/>
        <w:rPr>
          <w:sz w:val="20"/>
          <w:szCs w:val="20"/>
          <w:color w:val="auto"/>
        </w:rPr>
      </w:pPr>
    </w:p>
    <w:p>
      <w:pPr>
        <w:sectPr>
          <w:pgSz w:w="11900" w:h="16838" w:orient="portrait"/>
          <w:cols w:equalWidth="0" w:num="2">
            <w:col w:w="4400" w:space="0"/>
            <w:col w:w="6600"/>
          </w:cols>
          <w:pgMar w:left="420" w:top="995" w:right="479" w:bottom="1440" w:gutter="0" w:footer="0" w:header="0"/>
          <w:type w:val="continuous"/>
        </w:sectPr>
      </w:pPr>
    </w:p>
    <w:p>
      <w:pPr>
        <w:ind w:left="440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w:t>
      </w:r>
    </w:p>
    <w:p>
      <w:pPr>
        <w:spacing w:after="0" w:line="27" w:lineRule="exact"/>
        <w:rPr>
          <w:sz w:val="20"/>
          <w:szCs w:val="20"/>
          <w:color w:val="auto"/>
        </w:rPr>
      </w:pPr>
    </w:p>
    <w:p>
      <w:pPr>
        <w:ind w:left="4400" w:hanging="4400"/>
        <w:spacing w:after="0" w:line="260" w:lineRule="auto"/>
        <w:tabs>
          <w:tab w:leader="none" w:pos="43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 xml:space="preserve">page </w:t>
      </w:r>
      <w:hyperlink w:anchor="page7">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the documents referred to therein for a discussion of factors to consider carefully before deciding to invest in shares of our common stock.</w:t>
      </w:r>
    </w:p>
    <w:p>
      <w:pPr>
        <w:spacing w:after="0" w:line="181"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Nasdaq Capital Market symbol</w:t>
      </w:r>
      <w:r>
        <w:rPr>
          <w:sz w:val="20"/>
          <w:szCs w:val="20"/>
          <w:color w:val="auto"/>
        </w:rPr>
        <w:tab/>
      </w:r>
      <w:r>
        <w:rPr>
          <w:rFonts w:ascii="Times New Roman" w:cs="Times New Roman" w:eastAsia="Times New Roman" w:hAnsi="Times New Roman"/>
          <w:sz w:val="17"/>
          <w:szCs w:val="17"/>
          <w:color w:val="auto"/>
        </w:rPr>
        <w:t>OPRX</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15,072,226 shares of our common stock outstanding as of September 30, 2020 and excludes:</w:t>
      </w:r>
    </w:p>
    <w:p>
      <w:pPr>
        <w:spacing w:after="0" w:line="162" w:lineRule="exact"/>
        <w:rPr>
          <w:sz w:val="20"/>
          <w:szCs w:val="20"/>
          <w:color w:val="auto"/>
        </w:rPr>
      </w:pPr>
    </w:p>
    <w:p>
      <w:pPr>
        <w:ind w:left="1040" w:hanging="390"/>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376,342 shares of common stock reserved for future issuance under our 2013 Equity Incentive Plan, or the 2013 Plan, as of September 30, 2020;</w:t>
      </w:r>
    </w:p>
    <w:p>
      <w:pPr>
        <w:spacing w:after="0" w:line="161" w:lineRule="exact"/>
        <w:rPr>
          <w:rFonts w:ascii="Times New Roman" w:cs="Times New Roman" w:eastAsia="Times New Roman" w:hAnsi="Times New Roman"/>
          <w:sz w:val="18"/>
          <w:szCs w:val="18"/>
          <w:color w:val="auto"/>
        </w:rPr>
      </w:pPr>
    </w:p>
    <w:p>
      <w:pPr>
        <w:ind w:left="1040" w:hanging="390"/>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1,590,436 shares of common stock issuable upon the exercise of stock options outstanding as of September 30, 2020 under the 2013 Plan at a weighted average exercise price of $6.58; and</w:t>
      </w:r>
    </w:p>
    <w:p>
      <w:pPr>
        <w:spacing w:after="0" w:line="161" w:lineRule="exact"/>
        <w:rPr>
          <w:rFonts w:ascii="Times New Roman" w:cs="Times New Roman" w:eastAsia="Times New Roman" w:hAnsi="Times New Roman"/>
          <w:sz w:val="18"/>
          <w:szCs w:val="18"/>
          <w:color w:val="auto"/>
        </w:rPr>
      </w:pPr>
    </w:p>
    <w:p>
      <w:pPr>
        <w:ind w:left="1040" w:hanging="39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111,186 shares of common stock issuable upon the vesting of restricted stock units outstanding as of September 30,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by the underwriters of their option to</w:t>
      </w:r>
    </w:p>
    <w:p>
      <w:pPr>
        <w:spacing w:after="0" w:line="2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purchase up to an additional</w:t>
      </w:r>
      <w:r>
        <w:rPr>
          <w:sz w:val="20"/>
          <w:szCs w:val="20"/>
          <w:color w:val="auto"/>
        </w:rPr>
        <w:tab/>
      </w:r>
      <w:r>
        <w:rPr>
          <w:rFonts w:ascii="Times New Roman" w:cs="Times New Roman" w:eastAsia="Times New Roman" w:hAnsi="Times New Roman"/>
          <w:sz w:val="17"/>
          <w:szCs w:val="17"/>
          <w:color w:val="auto"/>
        </w:rPr>
        <w:t>shares of our common stock from us and no exercise of the outstanding options described above.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You should carefully consider the risks and uncertainties described in our Annual Report on Form 10-K for the fiscal year ended December 31, 2019, which is incorporated by reference into this prospectus supplement, as revised or supplemented by our filings with the SEC since the filing of our most recent Annual Report on Form 10-K, and which may be amended, supplemented or superseded from time to time by other reports we file with the SEC in the future. You should also carefully consider the other information contained or incorporated by reference in this prospectus supplement, in the accompanying prospectus and in any free writing prospectus that we may authorize for use in connection with this offering before acquiring any shares of our common stock. These risks could materially affect our business, results of operations or financial condition and cause the value of our common stock to decline. In addition, the risks and uncertainties we have described are not the only ones facing our company. Additional risks and uncertainties not presently known to us or that we currently deem immaterial may also affect our business operations, and you could lose all or part of your investment. Please also read carefully the section entitled “Cautionary Statement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Company’s proceeds from this offering, and we may not use the proceeds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net proceeds from this offering and could spend the proceeds in ways that do not improve our results of operations or enhance the value of our common stock. Our failure to apply these funds effectively could have a material adverse effect on our business, delay the growth of our business, or cause the price of our common stock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of common stock in this offering will experience immediate and substantial dilution in the book value of their investment. You may experience further dilution upon exercise of our outstanding options and warrants.</w:t>
      </w:r>
    </w:p>
    <w:p>
      <w:pPr>
        <w:spacing w:after="0" w:line="159" w:lineRule="exact"/>
        <w:rPr>
          <w:sz w:val="20"/>
          <w:szCs w:val="20"/>
          <w:color w:val="auto"/>
        </w:rPr>
      </w:pPr>
    </w:p>
    <w:p>
      <w:pPr>
        <w:jc w:val="both"/>
        <w:ind w:firstLine="847"/>
        <w:spacing w:after="0" w:line="261" w:lineRule="auto"/>
        <w:rPr>
          <w:sz w:val="20"/>
          <w:szCs w:val="20"/>
          <w:color w:val="auto"/>
        </w:rPr>
      </w:pPr>
      <w:r>
        <w:rPr>
          <w:rFonts w:ascii="Times New Roman" w:cs="Times New Roman" w:eastAsia="Times New Roman" w:hAnsi="Times New Roman"/>
          <w:sz w:val="18"/>
          <w:szCs w:val="18"/>
          <w:color w:val="auto"/>
        </w:rPr>
        <w:t>The public offering price per share of common stock in this offering is substantially higher than the net tangible book value per share of our common stock before giving effect to this offering. Accordingly, if you purchase common stock in this offering, you will incur immediate substantial</w:t>
      </w:r>
    </w:p>
    <w:p>
      <w:pPr>
        <w:jc w:val="both"/>
        <w:spacing w:after="0" w:line="253" w:lineRule="auto"/>
        <w:rPr>
          <w:sz w:val="20"/>
          <w:szCs w:val="20"/>
          <w:color w:val="auto"/>
        </w:rPr>
      </w:pPr>
      <w:r>
        <w:rPr>
          <w:rFonts w:ascii="Times New Roman" w:cs="Times New Roman" w:eastAsia="Times New Roman" w:hAnsi="Times New Roman"/>
          <w:sz w:val="18"/>
          <w:szCs w:val="18"/>
          <w:color w:val="auto"/>
        </w:rPr>
        <w:t>dilution of approximately $ per share, representing the difference between the public offering price per share of common stock and our pro forma as adjusted net tangible book value as of September 30, 2020. In addition, if our outstanding stock options are exercised, you could experience further dilution. For a further description of the dilution that you will experience immediately after this offering, see the section in this prospectus supplement entitled “Dilution.”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securities in any other offering at a price per share that is equal to or greater than the price per share paid by investors in this offering, and investors purchasing shares of our common stock or other securities in the future could have rights superior to existing shareholders,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currently do not have any immediate arrangements, commitments or understandings regarding any future acquisitions, as part of our strategy for growth, we may continue to explore acquisitions or strategic alliances, which may not be completed or may not be ultimately beneficial to us. Acquisitions may pose risks to our operations, including:</w:t>
      </w:r>
    </w:p>
    <w:p>
      <w:pPr>
        <w:spacing w:after="0" w:line="176"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and increased costs in connection with the integration of the personnel, operations, technologies, or products of the acquired businesses;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anticipated increases in revenues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business relationships with suppliers and customers and those of the acquired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assets becoming impaired as a result of technical advancements or worse-than-expected performance by the acquired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associated with accounting for earn-outs in a given transaction;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markets in which we have no, or limited, prior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internal control over financial reporting before the acquiree’s complete integration into our control environment.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connection with any acquisitions or investments we could:</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shareholders’ ownership percentages;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financing on unfavorable terms, or not be able to obtain financing on any terms at all;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acquired intangible assets or incur large and immediate write-offs;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cash that would otherwise be available to fund operations or for other purposes.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successfully integrate any acquisitions in an efficient or timely manner may negatively impact our financial condition and operating results, or we may not be able to fully realize anticipated savings. In addition, our competitors could try to emulate our acquisition strategy, leading to greater competition for scarce acquisition targets and could lead to larger competitors if they succeed in emulating our strategy.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 discounts and commissions and estimated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offering expenses payable by us, will be approximately $ million, or $ million if the underwriters exercise their option to purchase additional shares from us in full. We intend to use the net proceeds of this offering for general corporate purposes, which may include future acquisitions. We currently do not have any immediate arrangements, commitments or understandings regarding any future acquisitions.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for the net proceeds to us from this offering. Accordingly, our management will have broad discretion in the timing and application of these proceeds.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use of the proceeds from this offering as described above, we intend to invest the net proceeds of this offering in money market funds, certificates of deposit and corporate debt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in the foreseeable future, but intend to retain our capital resources for reinvestment in our business. Any future determination to pay cash dividends on our common stock will be at the discretion of our Board of Directors and will be dependent upon our financial condition, results of operations, capital requirements and other factors as the Board of Directors deems relevant.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capitalization as of September 30, 2020 on an actual basis and as adjusted to give effect to the sale of the common stock in this offering. The information set forth in the table below is only a summary and is qualified in its entirety by, and should be read in conjunction with, the consolidated financial statements, the notes thereto, and “Management’s Discussion and Analysis of Results of Operations and Financial Condition” in our Annual Report on Form 10-K for the fiscal year ended December 31, 2019 and our Quarterly Report on Form 10-Q for the period ending September 30, 2020, each of which is incorporated by reference in this prospectus supplement and the accompanying prospectus. See “Where You Can Find More Information” in this prospectus supplement.</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340" w:right="220" w:hanging="179"/>
        <w:spacing w:after="0" w:line="250" w:lineRule="auto"/>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 actual and as adjusted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Common stock, $0.001 par value, 500,000,000 shares authorized, 15,072,226 shares issued and outstanding, actual</w:t>
      </w:r>
    </w:p>
    <w:p>
      <w:pPr>
        <w:spacing w:after="0" w:line="21" w:lineRule="exact"/>
        <w:rPr>
          <w:sz w:val="20"/>
          <w:szCs w:val="20"/>
          <w:color w:val="auto"/>
        </w:rPr>
      </w:pPr>
    </w:p>
    <w:p>
      <w:pPr>
        <w:ind w:left="340"/>
        <w:spacing w:after="0"/>
        <w:tabs>
          <w:tab w:leader="none" w:pos="102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shares outstanding,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excludes: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20" w:type="dxa"/>
            <w:vAlign w:val="bottom"/>
          </w:tcPr>
          <w:p>
            <w:pPr>
              <w:spacing w:after="0"/>
              <w:rPr>
                <w:sz w:val="21"/>
                <w:szCs w:val="21"/>
                <w:color w:val="auto"/>
              </w:rPr>
            </w:pPr>
          </w:p>
        </w:tc>
      </w:tr>
      <w:tr>
        <w:trPr>
          <w:trHeight w:val="238"/>
        </w:trPr>
        <w:tc>
          <w:tcPr>
            <w:tcW w:w="200" w:type="dxa"/>
            <w:vAlign w:val="bottom"/>
          </w:tcPr>
          <w:p>
            <w:pPr>
              <w:spacing w:after="0"/>
              <w:rPr>
                <w:sz w:val="20"/>
                <w:szCs w:val="20"/>
                <w:color w:val="auto"/>
              </w:rPr>
            </w:pPr>
          </w:p>
        </w:tc>
        <w:tc>
          <w:tcPr>
            <w:tcW w:w="22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20"/>
                <w:szCs w:val="20"/>
                <w:color w:val="auto"/>
              </w:rPr>
            </w:pPr>
          </w:p>
        </w:tc>
      </w:tr>
      <w:tr>
        <w:trPr>
          <w:trHeight w:val="241"/>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12,032</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8"/>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83,653</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2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(36,989)</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46,679</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8420" w:space="260"/>
            <w:col w:w="2560"/>
          </w:cols>
          <w:pgMar w:left="320" w:top="900" w:right="339" w:bottom="1440" w:gutter="0" w:footer="0" w:header="0"/>
          <w:type w:val="continuous"/>
        </w:sectPr>
      </w:pPr>
    </w:p>
    <w:p>
      <w:pPr>
        <w:spacing w:after="0" w:line="52" w:lineRule="exact"/>
        <w:rPr>
          <w:sz w:val="20"/>
          <w:szCs w:val="20"/>
          <w:color w:val="auto"/>
        </w:rPr>
      </w:pPr>
    </w:p>
    <w:p>
      <w:pPr>
        <w:ind w:left="1040" w:hanging="38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376,342 shares of common stock reserved for future issuance under the 2013 Plan, as of September 30, 2020;</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1,590,436 shares of common stock issuable upon the exercise of stock options outstanding as of September 30, 2020 under the 2013 Plan at a weighted average exercise price of $6.58;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111,186 shares of common stock issuable upon the vesting of restricted stock units outstanding as of September 30,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amounts in the table above assume no exercise by the underwriters of their option to purchase additional shares.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tangible book value of our common stock as of September 30, 2020 was approximately $19.0 million, or approximately $1.26 per share. Net tangible book value per share represents the amount of our total tangible assets less total liabilities divided by the total number of shares of our common stock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shares of common stock offered by this prospectus supplement at a public offering price of $ per share, and after deducting commissions and estimated aggregate offering expenses payable by us, our as adjusted net tangible book value as of September 30, 2020</w:t>
      </w:r>
    </w:p>
    <w:tbl>
      <w:tblPr>
        <w:tblLayout w:type="fixed"/>
        <w:tblInd w:w="0" w:type="dxa"/>
        <w:tblCellMar>
          <w:top w:w="0" w:type="dxa"/>
          <w:left w:w="0" w:type="dxa"/>
          <w:bottom w:w="0" w:type="dxa"/>
          <w:right w:w="0" w:type="dxa"/>
        </w:tblCellMar>
      </w:tblPr>
      <w:tr>
        <w:trPr>
          <w:trHeight w:val="198"/>
        </w:trPr>
        <w:tc>
          <w:tcPr>
            <w:tcW w:w="29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would have been approximately $</w:t>
            </w:r>
          </w:p>
        </w:tc>
        <w:tc>
          <w:tcPr>
            <w:tcW w:w="22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million, or approximately $</w:t>
            </w:r>
          </w:p>
        </w:tc>
        <w:tc>
          <w:tcPr>
            <w:tcW w:w="6020" w:type="dxa"/>
            <w:vAlign w:val="bottom"/>
            <w:gridSpan w:val="5"/>
          </w:tcPr>
          <w:p>
            <w:pPr>
              <w:jc w:val="right"/>
              <w:spacing w:after="0" w:line="198" w:lineRule="exact"/>
              <w:rPr>
                <w:sz w:val="20"/>
                <w:szCs w:val="20"/>
                <w:color w:val="auto"/>
              </w:rPr>
            </w:pPr>
            <w:r>
              <w:rPr>
                <w:rFonts w:ascii="Times New Roman" w:cs="Times New Roman" w:eastAsia="Times New Roman" w:hAnsi="Times New Roman"/>
                <w:sz w:val="18"/>
                <w:szCs w:val="18"/>
                <w:color w:val="auto"/>
              </w:rPr>
              <w:t>per share. This represents an immediate increase in net tangible book value of</w:t>
            </w: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938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color w:val="auto"/>
              </w:rPr>
              <w:t>per share to our existing stockholders and an immediate dilution in as adjusted net tangible book value of approximately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w:t>
            </w:r>
          </w:p>
        </w:tc>
      </w:tr>
      <w:tr>
        <w:trPr>
          <w:trHeight w:val="234"/>
        </w:trPr>
        <w:tc>
          <w:tcPr>
            <w:tcW w:w="8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 to purchasers of our common stock in this offering, as illustrated by the following table:</w:t>
            </w: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2940" w:type="dxa"/>
            <w:vAlign w:val="bottom"/>
            <w:gridSpan w:val="3"/>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r>
      <w:tr>
        <w:trPr>
          <w:trHeight w:val="216"/>
        </w:trPr>
        <w:tc>
          <w:tcPr>
            <w:tcW w:w="4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tcPr>
          <w:p>
            <w:pPr>
              <w:spacing w:after="0"/>
              <w:rPr>
                <w:sz w:val="18"/>
                <w:szCs w:val="18"/>
                <w:color w:val="auto"/>
              </w:rPr>
            </w:pPr>
          </w:p>
        </w:tc>
      </w:tr>
      <w:tr>
        <w:trPr>
          <w:trHeight w:val="216"/>
        </w:trPr>
        <w:tc>
          <w:tcPr>
            <w:tcW w:w="856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 our common stock in this offering</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8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2020 after giving effect to this offering</w:t>
            </w:r>
          </w:p>
        </w:tc>
        <w:tc>
          <w:tcPr>
            <w:tcW w:w="560" w:type="dxa"/>
            <w:vAlign w:val="bottom"/>
          </w:tcPr>
          <w:p>
            <w:pPr>
              <w:spacing w:after="0"/>
              <w:rPr>
                <w:sz w:val="18"/>
                <w:szCs w:val="18"/>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r>
      <w:tr>
        <w:trPr>
          <w:trHeight w:val="216"/>
        </w:trPr>
        <w:tc>
          <w:tcPr>
            <w:tcW w:w="59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2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r>
      <w:tr>
        <w:trPr>
          <w:trHeight w:val="414"/>
        </w:trPr>
        <w:tc>
          <w:tcPr>
            <w:tcW w:w="112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of our common stock, our as adjusted net tangible book value as of</w:t>
            </w: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2020 would have been $</w:t>
            </w:r>
          </w:p>
        </w:tc>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 or $</w:t>
            </w:r>
          </w:p>
        </w:tc>
        <w:tc>
          <w:tcPr>
            <w:tcW w:w="6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per share. This represents an immediate increase in as adjusted net tangible book value per</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share of $</w:t>
            </w:r>
          </w:p>
        </w:tc>
        <w:tc>
          <w:tcPr>
            <w:tcW w:w="5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 share to existing stockholders, and an immediate dilution of $</w:t>
            </w:r>
          </w:p>
        </w:tc>
        <w:tc>
          <w:tcPr>
            <w:tcW w:w="48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per share to investors participating in this offering.</w:t>
            </w:r>
          </w:p>
        </w:tc>
        <w:tc>
          <w:tcPr>
            <w:tcW w:w="46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above is based on 15,072,226 shares of our common stock outstanding and issued as of September 30, 2020, which excludes 376,342 shares of common stock reserved for future issuance under our 2013 Plan, 1,590,436 shares of common stock issuable upon the exercise of stock options outstanding as of September 30, 2020 under the 2013 Plan at a weighted average exercise price of $6.58 and 111,186 shares of common stock issuable upon the vesting of restricted stock units outstanding as of September 30, 2020.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and estate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80" w:lineRule="exact"/>
        <w:rPr>
          <w:sz w:val="20"/>
          <w:szCs w:val="20"/>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other pass-through entities. The tax treatment of a partner in a partnership or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discussion is based upon the provisions of the Internal Revenue Code of 1986, as amended, or the Code, the U.S. Treasury regulations promulgated thereunder, judicial decisions, and published rulings, administrative procedures, and other guidance of the Internal Revenue Service, or the IRS, all as in effect as of the date hereof. These authorities are subject to change and to differing interpretations, possibly with retroactive effect, which could result in U.S. federal income or estate tax consequences different from those summarized below. No ruling has been or is expected to be sought from the IRS with respect to the matters summarized below, and there can be no assurance that the IRS will not take a contrary position regarding the U.S. federal income or estate tax consequences of the acquisition, ownership, or disposition of our common stock, or that any such contrary position would not be sustained by a court.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discussion is not a complete analysis of all of the potential U.S. federal income and estate tax consequences relating to the acquisition, ownership, and disposition of our common stock by non-U.S. holders, nor does it address any U.S. federal gift or generation-skipping transfer tax consequences, any tax consequences arising under any state, local, or non-U.S. tax laws, the impact of any applicable tax treaty, any consequences under the Medicare contribution tax on net investment income, the alternative minimum tax, or any consequences under other U.S. federal tax laws. In addition, this discussion does not address tax consequences resulting from a non-U.S. holder’s particular circumstances or to non-U.S. holders that may be subject to special tax rules, including, without limitation:</w:t>
      </w:r>
    </w:p>
    <w:p>
      <w:pPr>
        <w:spacing w:after="0" w:line="187" w:lineRule="exact"/>
        <w:rPr>
          <w:sz w:val="20"/>
          <w:szCs w:val="20"/>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agencies or instrumentalities thereof, or entities they control;</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their shareholders;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their shareholders;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grantor trusts or other entities that are treated as pass-through entities for U.S. federal income tax purposes, and their owners;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pension funds or other tax-exempt organizations;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employee stock options or otherwise as compensation;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brokers, or dealers in securities, commodities, or currencies;</w:t>
      </w:r>
    </w:p>
    <w:p>
      <w:pPr>
        <w:spacing w:after="0" w:line="225"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wash sale, “straddle,” “conversion transaction” or other risk reduction transaction or synthetic security;</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w:t>
      </w:r>
    </w:p>
    <w:p>
      <w:pPr>
        <w:spacing w:after="0" w:line="161" w:lineRule="exact"/>
        <w:rPr>
          <w:rFonts w:ascii="Times New Roman" w:cs="Times New Roman" w:eastAsia="Times New Roman" w:hAnsi="Times New Roman"/>
          <w:sz w:val="18"/>
          <w:szCs w:val="18"/>
          <w:color w:val="auto"/>
        </w:rPr>
      </w:pPr>
    </w:p>
    <w:p>
      <w:pPr>
        <w:ind w:left="1040" w:right="2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 financial statement;</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or are deemed to own or to have owned, more than 5% of our common stock (except to the extent specifically set forth below); or</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Prospective investors should consult their own tax advisors regarding the particular U.S. federal income, estate, gift, and generation-skipping transfer tax consequences to them of acquiring, owning, and disposing of our common stock, as well as any tax consequences arising under any state, local, or foreign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disclosure in this section addresses the consequences should our board of directors determine to make a distribution of cash or property with respect to our common stock (other than certain distributions of stock which may be made free of tax), or to effect a redemption that is treated for tax purposes as a distribution.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Any such excess allocated to a share of common stock will constitute a return of capital to the extent of the non-U.S. holder’s adjusted tax basis in that share of common stock, reducing that adjusted tax basis, but not below zero. After the non-U.S. holder’s adjusted tax basis in a share of common stock has been reduced to zero, any remaining excess allocated to that share of common stock will be treated as capital gain from the sale of that share of common stock, subject to the tax treatment described below under “Gain on Disposition of Common Stock.” Any such distributions will also be subject to the discussion below regarding backup withholding and foreign accounts. A non-U.S. holder’s adjusted tax basis in a share of common stock is generally the purchase price of the share, reduced by the amount of any distributions constituting a return of capital with respect to that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U.S., as defined under the applicable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 a portion of its earnings and profits for the taxable year that are effectively connected with a U.S. trade or business, as adjusted for certain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 non-U.S. holder generally will not be subject to U.S. federal income tax on any gain realized upon the sale, exchange, or other taxable disposition of our common stock unless:</w:t>
      </w:r>
    </w:p>
    <w:p>
      <w:pPr>
        <w:spacing w:after="0" w:line="162" w:lineRule="exact"/>
        <w:rPr>
          <w:sz w:val="20"/>
          <w:szCs w:val="20"/>
          <w:color w:val="auto"/>
        </w:rPr>
      </w:pPr>
    </w:p>
    <w:p>
      <w:pPr>
        <w:jc w:val="both"/>
        <w:ind w:left="1040" w:hanging="384"/>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1040" w:hanging="384"/>
        <w:spacing w:after="0" w:line="25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U.S.) provided that the non-U.S. holder has timely filed U.S. federal income tax returns reporting those losses; or</w:t>
      </w:r>
    </w:p>
    <w:p>
      <w:pPr>
        <w:spacing w:after="0" w:line="187"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a corporation is a USRPHC only if the fair market value of its U.S. real property interests equals or exceeds 50% of the sum of the fair market value of its worldwide real property interests plus its other assets used or held for use in a trade or business. 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 No assurance can be provided that our common stock will be regularly traded on an established securities market for purposes of the rule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rules relating to information reporting requirements and backup withholding with respect to payments of the proceeds from the disposition of shares of our common stock are as follows:</w:t>
      </w:r>
    </w:p>
    <w:p>
      <w:pPr>
        <w:spacing w:after="0" w:line="162" w:lineRule="exact"/>
        <w:rPr>
          <w:sz w:val="20"/>
          <w:szCs w:val="20"/>
          <w:color w:val="auto"/>
        </w:rPr>
      </w:pPr>
    </w:p>
    <w:p>
      <w:pPr>
        <w:jc w:val="both"/>
        <w:ind w:left="1040" w:hanging="384"/>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75" w:lineRule="exact"/>
        <w:rPr>
          <w:rFonts w:ascii="Times New Roman" w:cs="Times New Roman" w:eastAsia="Times New Roman" w:hAnsi="Times New Roman"/>
          <w:sz w:val="18"/>
          <w:szCs w:val="18"/>
          <w:color w:val="auto"/>
        </w:rPr>
      </w:pPr>
    </w:p>
    <w:p>
      <w:pPr>
        <w:jc w:val="both"/>
        <w:ind w:left="1040" w:hanging="384"/>
        <w:spacing w:after="0" w:line="25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w:t>
      </w:r>
    </w:p>
    <w:p>
      <w:pPr>
        <w:spacing w:after="0" w:line="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foreign partnership is engaged in a U.S. trade or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our common 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 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dividends on our common stock paid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Withholding under FATCA generally will not be reduced or limited by bilateral income tax treaties. However, intergovernmental agreements between the U.S.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Common stock owned or treated as owned at the time of death by an individual who is not a citizen or resident of the United States (as specifically defined for U.S. federal estate tax purposes) is considered a U.S. situs asset and will be included in the individual’s gross estate for U.S. federal estate tax purposes and, therefore, may be subject to U.S. federal estate tax, unless an applicable estate tax or other treaty between the United States and such individual’s country of residence provides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preceding discussion of U.S. federal tax considerations is for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William Blair &amp; Company, L.L.C. and RBC Capital Markets, LLC are acting as joint book-running managers and representatives of each of the underwriters named below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ectPr>
          <w:pgSz w:w="11900" w:h="16838" w:orient="portrait"/>
          <w:cols w:equalWidth="0" w:num="1">
            <w:col w:w="11240"/>
          </w:cols>
          <w:pgMar w:left="320" w:top="900" w:right="3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-6445885</wp:posOffset>
            </wp:positionH>
            <wp:positionV relativeFrom="paragraph">
              <wp:posOffset>5715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9440" w:space="720"/>
            <w:col w:w="108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cover page of this prospectus supplement and to dealers at that price less a concession not in excess of $ per share. After the initial offering of the shares, the public offering price, concession or any other term of the offering may be changed by the representatives.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Without</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 of the underwriters to pay for and accept delivery of the shares of common stock offered by this prospectus supplement are subject to the approval of certain legal matters by its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The underwriters reserve the right to withdraw, cancel or modify offers to the public and to reject orders in whole or in part.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will be approximately $ . We also have agreed to reimburse the underwriters for up to $50,000 for their counsel. In accordance with FINRA Rule 5110, this reimbursed fee is deemed underwriting compensation for this offering.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jc w:val="right"/>
        <w:spacing w:after="0" w:line="257"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underwriter’s initial amount reflected in the above table.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certain of our current and future officers and our directors have agreed not to sell or transfer any shares of common stock or securities convertible into or exchangeable or exercisable for shares of common stock, for 90 days after the date of this prospectus supplement without first obtaining the written consent of William Blair &amp; Company, L.L.C. and RBC Capital Markets, LLC, on behalf of the underwriters. Specifically, we and these other persons have agreed, with certain exceptions, not to (i) offer, sell, contract to sell, announce the intention to sell, pledge, grant any option to purchase or otherwise dispose of any of our securities or any securities convertible into or exercisable or exchangeable for, or any rights to purchase or otherwise acquire our securities, (ii) request or demand that we file a registration statement related to the shares of common stock or (iii) publicly announce any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provision applies to shares of common stock and to securities convertible into or exchangeable or exercisable for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The underwriters and their affiliates are currently providing investment banking advice to us and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offer of shares may be made to the public in that Relevant Member State other than:</w:t>
      </w:r>
    </w:p>
    <w:p>
      <w:pPr>
        <w:spacing w:after="0" w:line="162"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25"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w:t>
      </w:r>
    </w:p>
    <w:p>
      <w:pPr>
        <w:spacing w:after="0" w:line="27" w:lineRule="exact"/>
        <w:rPr>
          <w:rFonts w:ascii="Times New Roman" w:cs="Times New Roman" w:eastAsia="Times New Roman" w:hAnsi="Times New Roman"/>
          <w:sz w:val="18"/>
          <w:szCs w:val="18"/>
          <w:color w:val="auto"/>
        </w:rPr>
      </w:pPr>
    </w:p>
    <w:p>
      <w:pPr>
        <w:ind w:left="1040" w:hanging="384"/>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legal persons (other than qualified investors as defined in the Prospectus Directive), as permitted under the Prospectus Directive, subject to obtaining the prior consent of the representatives; or</w:t>
      </w:r>
    </w:p>
    <w:p>
      <w:pPr>
        <w:spacing w:after="0" w:line="18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shall require the</w:t>
      </w:r>
    </w:p>
    <w:p>
      <w:pPr>
        <w:spacing w:after="0" w:line="27" w:lineRule="exact"/>
        <w:rPr>
          <w:rFonts w:ascii="Times New Roman" w:cs="Times New Roman" w:eastAsia="Times New Roman" w:hAnsi="Times New Roman"/>
          <w:sz w:val="18"/>
          <w:szCs w:val="18"/>
          <w:color w:val="auto"/>
        </w:rPr>
      </w:pPr>
    </w:p>
    <w:p>
      <w:pPr>
        <w:ind w:left="1040" w:hanging="384"/>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the representatives to publish a prospectus pursuant to Article 3 of the Prospectus Directive or supplement a prospectus pursuant to Article 16 of the Prospectus Directive.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affiliates will rely upon the truth and accuracy of the foregoing representations, acknowledgements and agreements.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common stock being offered in this offering will be passed upon for us by The Doney Law Firm, Las Vegas, Nevada. Certain other matters with respect to this offering will be passed upon for us by Morgan, Lewis &amp; Bockius LLP, Boston, Massachusetts. Certain legal matters related to this offering will be passed upon for the underwriters by DLA Piper LLP (US),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December 31, 2019, and for the year then ended have been incorporated by reference herein in reliance upon the report, of Marcum LLP, an independent registered public accounting firm, given on the authority of said firm as experts in auditing and accounting.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as of December 31, 2018 and for the year then ended have been incorporated by reference herein in reliance upon the report of Sadler Gibb &amp; Associates, LLC, independent registered public accounting firm, given on the authority of said firm as experts in auditing and accounting.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website is </w:t>
      </w:r>
      <w:r>
        <w:rPr>
          <w:rFonts w:ascii="Times New Roman" w:cs="Times New Roman" w:eastAsia="Times New Roman" w:hAnsi="Times New Roman"/>
          <w:sz w:val="18"/>
          <w:szCs w:val="18"/>
          <w:i w:val="1"/>
          <w:iCs w:val="1"/>
          <w:color w:val="auto"/>
        </w:rPr>
        <w:t>https://www.optimizerx.com</w:t>
      </w:r>
      <w:r>
        <w:rPr>
          <w:rFonts w:ascii="Times New Roman" w:cs="Times New Roman" w:eastAsia="Times New Roman" w:hAnsi="Times New Roman"/>
          <w:sz w:val="18"/>
          <w:szCs w:val="18"/>
          <w:color w:val="auto"/>
        </w:rPr>
        <w:t>. The information contained on, or that can be accessed through, our website is not a part of this prospectus supplement,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should not consider any information on, or accessible through, our website as part of this prospectus supplement. We have included our website address in this prospectus supplement solely as an inactive textual reference.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information we file with it, which means that we can disclose important information to you by referring you to those documents. The information incorporated by reference is considered to be part of this prospectus supplement, and information in documents that we file later with the SEC will automatically update and supersede information in this prospectus supplement. We incorporate by reference into this prospectus supplement the documents listed below and any future filings made by us with the SEC under Section 13(a), 13(c), 14 or 15(d) of the Exchange Act, except for information “furnished” under Items 2.02, 7.01 or 9.01 on Form 8-K or other information “furnished” to the SEC which is not deemed filed and not incorporated in this prospectus supplement, until the termination of the offering of securities described in this prospectus supplement. We hereby incorporate by reference the following documents:</w:t>
      </w:r>
    </w:p>
    <w:p>
      <w:pPr>
        <w:spacing w:after="0" w:line="18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March 26, 2020 (File No. 001-38543);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2020, June 30, 2020 and September 30, 2020, filed with the SEC on </w:t>
      </w:r>
      <w:hyperlink r:id="rId37">
        <w:r>
          <w:rPr>
            <w:rFonts w:ascii="Times New Roman" w:cs="Times New Roman" w:eastAsia="Times New Roman" w:hAnsi="Times New Roman"/>
            <w:sz w:val="18"/>
            <w:szCs w:val="18"/>
            <w:u w:val="single" w:color="auto"/>
            <w:color w:val="0000EE"/>
          </w:rPr>
          <w:t>May 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 xml:space="preserve">August 5, 2020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November 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(File No. 001-38543);</w:t>
      </w:r>
    </w:p>
    <w:p>
      <w:pPr>
        <w:spacing w:after="0" w:line="161" w:lineRule="exact"/>
        <w:rPr>
          <w:rFonts w:ascii="Times New Roman" w:cs="Times New Roman" w:eastAsia="Times New Roman" w:hAnsi="Times New Roman"/>
          <w:sz w:val="18"/>
          <w:szCs w:val="18"/>
          <w:color w:val="0000EE"/>
        </w:rPr>
      </w:pPr>
    </w:p>
    <w:p>
      <w:pPr>
        <w:jc w:val="both"/>
        <w:ind w:left="980" w:hanging="324"/>
        <w:spacing w:after="0" w:line="255" w:lineRule="auto"/>
        <w:tabs>
          <w:tab w:leader="none" w:pos="98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0">
        <w:r>
          <w:rPr>
            <w:rFonts w:ascii="Times New Roman" w:cs="Times New Roman" w:eastAsia="Times New Roman" w:hAnsi="Times New Roman"/>
            <w:sz w:val="18"/>
            <w:szCs w:val="18"/>
            <w:u w:val="single" w:color="auto"/>
            <w:color w:val="0000EE"/>
          </w:rPr>
          <w:t>January 29, 2020</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February 18, 2020</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March 2, 2020</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March 3, 2020</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6, 2020</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10,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11,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16,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18,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March 25,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April 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April 6,</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46">
        <w:r>
          <w:rPr>
            <w:rFonts w:ascii="Times New Roman" w:cs="Times New Roman" w:eastAsia="Times New Roman" w:hAnsi="Times New Roman"/>
            <w:sz w:val="18"/>
            <w:szCs w:val="18"/>
            <w:u w:val="single" w:color="auto"/>
            <w:color w:val="0000EE"/>
          </w:rPr>
          <w:t>April 9,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47">
        <w:r>
          <w:rPr>
            <w:rFonts w:ascii="Times New Roman" w:cs="Times New Roman" w:eastAsia="Times New Roman" w:hAnsi="Times New Roman"/>
            <w:sz w:val="18"/>
            <w:szCs w:val="18"/>
            <w:u w:val="single" w:color="auto"/>
            <w:color w:val="0000EE"/>
          </w:rPr>
          <w:t>April 17,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48">
        <w:r>
          <w:rPr>
            <w:rFonts w:ascii="Times New Roman" w:cs="Times New Roman" w:eastAsia="Times New Roman" w:hAnsi="Times New Roman"/>
            <w:sz w:val="18"/>
            <w:szCs w:val="18"/>
            <w:u w:val="single" w:color="auto"/>
            <w:color w:val="0000EE"/>
          </w:rPr>
          <w:t>April 22,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49">
        <w:r>
          <w:rPr>
            <w:rFonts w:ascii="Times New Roman" w:cs="Times New Roman" w:eastAsia="Times New Roman" w:hAnsi="Times New Roman"/>
            <w:sz w:val="18"/>
            <w:szCs w:val="18"/>
            <w:u w:val="single" w:color="auto"/>
            <w:color w:val="0000EE"/>
          </w:rPr>
          <w:t>May 6,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0">
        <w:r>
          <w:rPr>
            <w:rFonts w:ascii="Times New Roman" w:cs="Times New Roman" w:eastAsia="Times New Roman" w:hAnsi="Times New Roman"/>
            <w:sz w:val="18"/>
            <w:szCs w:val="18"/>
            <w:u w:val="single" w:color="auto"/>
            <w:color w:val="0000EE"/>
          </w:rPr>
          <w:t>May 7,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1">
        <w:r>
          <w:rPr>
            <w:rFonts w:ascii="Times New Roman" w:cs="Times New Roman" w:eastAsia="Times New Roman" w:hAnsi="Times New Roman"/>
            <w:sz w:val="18"/>
            <w:szCs w:val="18"/>
            <w:u w:val="single" w:color="auto"/>
            <w:color w:val="0000EE"/>
          </w:rPr>
          <w:t>May 8,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2">
        <w:r>
          <w:rPr>
            <w:rFonts w:ascii="Times New Roman" w:cs="Times New Roman" w:eastAsia="Times New Roman" w:hAnsi="Times New Roman"/>
            <w:sz w:val="18"/>
            <w:szCs w:val="18"/>
            <w:u w:val="single" w:color="auto"/>
            <w:color w:val="0000EE"/>
          </w:rPr>
          <w:t>May 13,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3">
        <w:r>
          <w:rPr>
            <w:rFonts w:ascii="Times New Roman" w:cs="Times New Roman" w:eastAsia="Times New Roman" w:hAnsi="Times New Roman"/>
            <w:sz w:val="18"/>
            <w:szCs w:val="18"/>
            <w:u w:val="single" w:color="auto"/>
            <w:color w:val="0000EE"/>
          </w:rPr>
          <w:t>May 19, 2020</w:t>
        </w:r>
      </w:hyperlink>
      <w:hyperlink r:id="rId45">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54">
        <w:r>
          <w:rPr>
            <w:rFonts w:ascii="Times New Roman" w:cs="Times New Roman" w:eastAsia="Times New Roman" w:hAnsi="Times New Roman"/>
            <w:sz w:val="18"/>
            <w:szCs w:val="18"/>
            <w:u w:val="single" w:color="auto"/>
            <w:color w:val="0000EE"/>
          </w:rPr>
          <w:t>June 1, 2020</w:t>
        </w:r>
      </w:hyperlink>
      <w:hyperlink r:id="rId45">
        <w:r>
          <w:rPr>
            <w:rFonts w:ascii="Times New Roman" w:cs="Times New Roman" w:eastAsia="Times New Roman" w:hAnsi="Times New Roman"/>
            <w:sz w:val="18"/>
            <w:szCs w:val="18"/>
            <w:u w:val="single" w:color="auto"/>
            <w:color w:val="000000"/>
          </w:rPr>
          <w:t>,</w:t>
        </w:r>
      </w:hyperlink>
      <w:r>
        <w:rPr>
          <w:rFonts w:ascii="Times New Roman" w:cs="Times New Roman" w:eastAsia="Times New Roman" w:hAnsi="Times New Roman"/>
          <w:sz w:val="18"/>
          <w:szCs w:val="18"/>
          <w:u w:val="single" w:color="auto"/>
          <w:color w:val="0000EE"/>
        </w:rPr>
        <w:t xml:space="preserve"> </w:t>
      </w:r>
      <w:hyperlink r:id="rId55">
        <w:r>
          <w:rPr>
            <w:rFonts w:ascii="Times New Roman" w:cs="Times New Roman" w:eastAsia="Times New Roman" w:hAnsi="Times New Roman"/>
            <w:sz w:val="18"/>
            <w:szCs w:val="18"/>
            <w:u w:val="single" w:color="auto"/>
            <w:color w:val="0000EE"/>
          </w:rPr>
          <w:t>June 10,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June 26,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June 29,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July 7,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July 10,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July 22,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July 28,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August 20,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August 24,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September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September 15,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September 21,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12,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17,</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November 19,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3,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7,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9,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December 11, 2020</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January 6,</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 xml:space="preserve">January 15, 2021 </w:t>
        </w:r>
      </w:hyperlink>
      <w:hyperlink r:id="rId6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 xml:space="preserve">January 22, 2021 </w:t>
        </w:r>
      </w:hyperlink>
      <w:hyperlink r:id="rId65">
        <w:r>
          <w:rPr>
            <w:rFonts w:ascii="Times New Roman" w:cs="Times New Roman" w:eastAsia="Times New Roman" w:hAnsi="Times New Roman"/>
            <w:sz w:val="18"/>
            <w:szCs w:val="18"/>
            <w:color w:val="000000"/>
          </w:rPr>
          <w:t>(File No. 001-38543); and</w:t>
        </w:r>
      </w:hyperlink>
    </w:p>
    <w:p>
      <w:pPr>
        <w:spacing w:after="0" w:line="188"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contained in the Registration Statement on </w:t>
      </w:r>
      <w:hyperlink r:id="rId6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June 19, 2018 (File No. 001-38543), as supplemented by the “Description of Capital Stock” found on page </w:t>
      </w:r>
      <w:hyperlink w:anchor="page10">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accompanying base prospectus and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(248) 651-6568</w:t>
      </w:r>
    </w:p>
    <w:p>
      <w:pPr>
        <w:spacing w:after="0" w:line="205" w:lineRule="exact"/>
        <w:rPr>
          <w:rFonts w:ascii="Times New Roman" w:cs="Times New Roman" w:eastAsia="Times New Roman" w:hAnsi="Times New Roman"/>
          <w:sz w:val="18"/>
          <w:szCs w:val="18"/>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Copies of these filings are also available, without charge, on the SEC’s website at www.sec.gov and on our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as soon as reasonably practicable after they are filed electronically with the SEC. The information contained on our website is not a part of this prospectus.</w:t>
      </w:r>
    </w:p>
    <w:p>
      <w:pPr>
        <w:spacing w:after="0" w:line="36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1208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OptimizeRx Corporation</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offer and sell any combination of the securities described in this prospectus, either individually or in combination, at prices and on terms described in one or more supplements to this prospectus. Selling stockholders to be named in a supplement to this prospectus may also from time to time offer and sell shares of our common stock, in one or more offerings.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also offer securities as may be issuable upon conversion, redemption, repurchase, exchange or exercise of any securities registered hereunder, including any applicable anti-dilution provisions. We or any selling stockholder may sell the securities to or through underwriters and also to other purchasers or through agents, on a continuous or delayed basis. The names of any underwriters or agents, and any fees, conversions, or discount arrangements will be set forth in the applicable prospectus supplement accompanying this prospectus. The price to the public of such securities and the net proceeds that we or the selling stockholders expect to receive from such sale will also be set forth in a prospectus supplement. Unless the applicable prospectus supplement provides otherwise, we will not receive any proceeds from the sale of securities by selling stockholders.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a general description of the securities we may offer and the common stock the selling stockholders may offer. We will provide the specific terms of these offerings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 </w:t>
      </w:r>
      <w:r>
        <w:rPr>
          <w:rFonts w:ascii="Times New Roman" w:cs="Times New Roman" w:eastAsia="Times New Roman" w:hAnsi="Times New Roman"/>
          <w:sz w:val="18"/>
          <w:szCs w:val="18"/>
          <w:b w:val="1"/>
          <w:bCs w:val="1"/>
          <w:color w:val="auto"/>
        </w:rPr>
        <w:t>This prospectus may not be used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consummate a sale of securities unless it is accompanied by the applicable prospectus supplement.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“OPRX.”</w:t>
      </w:r>
    </w:p>
    <w:p>
      <w:pPr>
        <w:spacing w:after="0" w:line="22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a high degree of risk. You should review carefully the risks and uncertainties described under the heading “Risk Factors” contained in this prospectus beginning on page 2 and any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7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1034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52"/>
        </w:trPr>
        <w:tc>
          <w:tcPr>
            <w:tcW w:w="103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PROSPECTUS SUMMARY</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RISK FACTORS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CAUTIONARY STATEMENT REGARDING FORWARD-LOOKING STATEMENTS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USE OF PROCEEDS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THE SECURITIES WE MAY OFFER</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DESCRIPTION OF CAPITAL STOCK</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DESCRIPTION OF DEBT SECURITIES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WARRANTS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DESCRIPTION OF UNITS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SELLING STOCKHOLDERS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PLAN OF DISTRIBUTION</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LEGAL MATTERS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EXPERTS</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WHERE YOU CAN FIND MORE INFORMATION</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INCORPORATION OF CERTAIN INFORMATION BY REFERENCE</w:t>
              </w:r>
            </w:hyperlink>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may sell common stock, preferred stock, various series of debt securities, or warrants to purchase any of such securities, either individually or as units in combination with other securities described in this prospectus, in one or more offerings from time to time. Selling stockholders may offer and sell, in one or more offerings, shares of our common stock as described in this prospectus or the applicable prospectus supplement. There is no limit on the aggregate amount of the securities that we or selling stockholders may offer pursuant to the registration statement of which this prospectus is a part. This prospectus provides you with a general description of the securities we, and the common stock selling stockholders, may offer.</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or selling stockholders offer common stock, under this prospectus, we will provide a prospectus supplement that will include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we urge you to carefully read this prospectus, the applicable prospectus supplement and any related free writing prospectuses we have authorized for use in connection with a specific offering, together with the additional information incorporated herein and therein by reference.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prospectus supplement or any related free writing prospectus, or the time of any sale of a security.</w:t>
      </w:r>
    </w:p>
    <w:p>
      <w:pPr>
        <w:spacing w:after="0" w:line="180"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the heading “Where You Can Find More Information.”</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stated, all references to “us,” “our,” “OPRX,” “OptimizeRx,” “we,” the “Company” and similar designations refer to OptimizeRx Corporation. Our principal executive offices are located at 400 Water Street, Suite 200, Rochester, MI 48307, and our telephone number is (248) 651-6568.</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4" w:name="page25"/>
    <w:bookmarkEnd w:id="2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23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27875" cy="4230370"/>
                    </a:xfrm>
                    <a:prstGeom prst="rect">
                      <a:avLst/>
                    </a:prstGeom>
                    <a:noFill/>
                  </pic:spPr>
                </pic:pic>
              </a:graphicData>
            </a:graphic>
          </wp:anchor>
        </w:drawing>
        <w:t>PROSPECTUS SUMMARY</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or incorporated by reference elsewhere in this prospectus and does not contain all of the information that you should consider in making your investment decision. Before investing in our securities, you should carefully read this entire prospectus, the applicable prospectus supplement and any related free writing prospectus, including the information under the caption “Risk Factors” herein and the applicable prospectus supplement and under similar headings in the other documents that are incorporated by reference into this prospectus. You should also carefully read the other information incorporated by reference into this prospectus, including our financial statements and the related notes, and the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a Nevada corporation organized in September 2008. Our principal executive offices are located at 400 Water Street, Suite 200, Rochester, MI 48307, and our telephone number is (248) 651-6568. Our corporate website address is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20" w:top="995" w:right="5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risks described in the documents incorporated by reference in this prospectus and any applicable prospectus supplement and any related free writing prospectus, as well as other information we include or incorporate by reference into this prospectus and any applicable prospectus supplement, before making an investment decision. Our business, financial condition or results of operations could be materially adversely affected by any of these risks. The trading price of our securities could decline due to the occurrence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in our most recent annual report on Form 10-K and our quarterly reports on Form 10-Q, each on file with the SEC and any amendments thereto reflected in subsequent filings with the SEC, all of which are incorporated by reference into this prospectus in their entirety, together with other information in this prospectus, the documents incorporated by reference and any free writing prospectus that we may authorize for use in connection with a specific offering.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prospectus and the documents incorporated by reference herein and include statements regarding our intentions, beliefs or current expectations concerning, among other things, the impact on our business and the global economy as a result of the COVID-19 pandemic, our results of operations, financial condition, liquidity, prospects, growth, strategies and the industries in which we and our partners operate.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Important factors that could cause actual results to differ materially from those indicated in the forward-looking statements will be discussed in greater detail in any applicable prospectus supplement.</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above is not a complete list of factors or events that could cause actual results to differ from our expectations, and it is not possible for us to predict all of them. Important factors that could cause actual results to differ materially from our expectations are more fully described in our other filings with the SEC, including in the “Risk Factors” section of our most recent Annual Report on Form 10-K and in subsequent Quarterly Reports on Form 10-Q, each of which are incorporated by reference in this prospectus, and in the “Risk Factors” section in the applicable prospectus supplement. See “Where You Can Find More Information.”</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prospectus and in the documents incorporated by reference herein. In addition, even if our results of operations, financial condition and liquidity, and the development of the industry in which we operate, are consistent with the forward-looking statements contained in this prospectus and in the documents incorporated by reference herein, those results or developments may not be indicative of results or developments in subsequent periods.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Any forward-looking statement that we make in this prospectus and in the documents incorporated by reference herein speaks only as of the date of such statement, and we undertake no obligation to update any forward-looking statements or to publicly announce the results of any revisions to any of those statements to reflect future events or developments, except as required by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related free writing prospectuses we may authorize for use in connection with a specific offering, we currently intend to use the net proceeds from the sale of the securities offered by us hereunder, if any, for working capital and general corporate purposes, including selling, general and administrative expenses. As of the date of this prospectus, we cannot specify with certainty all of the particular uses for the net proceeds to us from the sale of the securities offered by us hereunder. We will set forth in the applicable prospectus supplement or free writing prospectus our intended use for the net proceeds received from the sale of any securities sold pursuant to the prospectus supplement or free writing prospectus.</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Shares of our common stock may be offered by selling stockholders under an applicable prospectus supplement to this prospectus. Unless the applicable prospectus supplement provides otherwise, we will not receive any of the proceeds from the sale or other disposition of shares of our common stock sold by selling stockholders in any offering by them.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warrants to purchase common stock or preferred stock, debt securities, in one or more series, as either senior or subordinated debt or as senior or subordinated convertible debt, units or any combination thereof, and any selling stockholder may offer shares of our common stock, from time to time in one or more offerings under this prospectus at prices and on terms to be determined at the time of any offering. This prospectus provides you with a general description of the securities we and any selling stockholder may offer. Each time we or any selling stockholder offer a type or series of securities under this prospectus, we will provide a prospectus supplement or free writing prospectus, or both, that will describe the specific amounts, prices and other important terms of the securities.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Articles of Incorporation and our Amended and Restated Bylaws (our “Bylaws”), each of which are incorporated by reference as an exhibit to the Registration Statement on Form S-3 of which this prospectus is a part. The terms of these securities also may be affected by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Articles of Incorporation provides for authorized capital stock of 166,666,667 shares of common stock, par value $0.001 per share, and 10,000,000 shares of undesignated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9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number of shares constituting that series and the distinctive designation of that series, which may be by distinguishing number, letter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right="280" w:firstLine="65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voting rights, in addition to the voting rights provided by law, and, if so, the terms of such voting rights;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a sinking fund for the redemption or purchase of shares of that series, and, if so, the terms and amount of such sinking fund;</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current directors and executive officers and expect to enter into a similar agreement with any new directors or executive officers. We also maintain customary directors’ and officers’ liability insurance policies that provide coverage to our directors and officers against loss arising from claims made by reason of breach of duty or other wrongful act and to us with respect to indemnification payments that we may make to directors and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Empire Stock Transfer, 1859 Whitney Mesa Dr, Henderson, NV 89014, telephone: (702) 974-1444.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“OPRX.”</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any debt securities we issue will be governed by a document called an “indenture,” the forms of which are filed as an exhibit to the registration statement of which this prospectus forms a part. We have summarized the general features of the debt securities to be governed by the indentures. The summary is not complete. An indenture is a contract between us and a financial institution acting as trustee on behalf of the holders of the debt securities, and is subject to and governed by the Trust Indenture Act of 1939, as amended, or the Trust Indenture Act. The trustee has two main roles. First, the trustee can enforce holders' rights against us if we default. There are some limitations on the extent to which the trustee acts on holders' behalf, described in the second paragraph under “Description of Debt Securities— Events of Default.” Second, the trustee performs certain administrative duties, such as sending interest and principal payments to holders.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will issue any senior or subordinated debt securities under a senior or subordinated indenture, as applicable, that we will enter into with the trustee named in the subordinated indenture. We have filed a form of senior indenture and a form of subordinated indenture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debt securities we may issue, including some or all of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transfer, conversion and/or exchange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legal defeasance or covenant defeasance;</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debt securities on any securities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including those related to original issue discount, if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22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we do not cure this default within five days;</w:t>
      </w:r>
    </w:p>
    <w:p>
      <w:pPr>
        <w:spacing w:after="0" w:line="161" w:lineRule="exact"/>
        <w:rPr>
          <w:rFonts w:ascii="Times New Roman" w:cs="Times New Roman" w:eastAsia="Times New Roman" w:hAnsi="Times New Roman"/>
          <w:sz w:val="18"/>
          <w:szCs w:val="18"/>
          <w:color w:val="auto"/>
        </w:rPr>
      </w:pPr>
    </w:p>
    <w:p>
      <w:pPr>
        <w:ind w:left="980" w:right="120" w:hanging="324"/>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occurs in respect of debt securities of the series described in the prospectus supplement.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the trustee written notice that an Event of Default has occurred and remains uncured;</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225" w:lineRule="exact"/>
        <w:rPr>
          <w:rFonts w:ascii="Times New Roman" w:cs="Times New Roman" w:eastAsia="Times New Roman" w:hAnsi="Times New Roman"/>
          <w:sz w:val="18"/>
          <w:szCs w:val="18"/>
          <w:color w:val="auto"/>
        </w:rPr>
      </w:pPr>
    </w:p>
    <w:p>
      <w:pPr>
        <w:ind w:left="980" w:right="400" w:hanging="324"/>
        <w:spacing w:after="0" w:line="184" w:lineRule="auto"/>
        <w:tabs>
          <w:tab w:leader="none" w:pos="980" w:val="left"/>
        </w:tabs>
        <w:numPr>
          <w:ilvl w:val="0"/>
          <w:numId w:val="1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holders of a majority in principal amount of the debt securities must not have given the trustee a direction inconsistent with the above notice during that 60-day period.</w:t>
      </w:r>
    </w:p>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229" w:lineRule="exact"/>
        <w:rPr>
          <w:sz w:val="20"/>
          <w:szCs w:val="20"/>
          <w:color w:val="auto"/>
        </w:rPr>
      </w:pPr>
    </w:p>
    <w:p>
      <w:pPr>
        <w:ind w:right="580" w:firstLine="648"/>
        <w:spacing w:after="0" w:line="312" w:lineRule="auto"/>
        <w:rPr>
          <w:sz w:val="20"/>
          <w:szCs w:val="20"/>
          <w:color w:val="auto"/>
        </w:rPr>
      </w:pPr>
      <w:r>
        <w:rPr>
          <w:rFonts w:ascii="Times New Roman" w:cs="Times New Roman" w:eastAsia="Times New Roman" w:hAnsi="Times New Roman"/>
          <w:sz w:val="17"/>
          <w:szCs w:val="17"/>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40" w:lineRule="exact"/>
        <w:rPr>
          <w:sz w:val="20"/>
          <w:szCs w:val="20"/>
          <w:color w:val="auto"/>
        </w:rPr>
      </w:pPr>
    </w:p>
    <w:p>
      <w:pPr>
        <w:ind w:left="980" w:right="6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types of changes we may make to an indenture and the debt securities issued thereunder.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rate of interest on a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change of control has occurred, reduce any premium payable upon a change of control;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holders to sue for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may require the following approval:</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When taking a vote on proposed changes to the indenture and the debt securities, we expect to use the following rules to decide how much principal to attribute to a debt security:</w:t>
      </w:r>
    </w:p>
    <w:p>
      <w:pPr>
        <w:spacing w:after="0" w:line="162" w:lineRule="exact"/>
        <w:rPr>
          <w:sz w:val="20"/>
          <w:szCs w:val="20"/>
          <w:color w:val="auto"/>
        </w:rPr>
      </w:pPr>
    </w:p>
    <w:p>
      <w:pPr>
        <w:ind w:left="980" w:right="3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83" w:lineRule="exact"/>
        <w:rPr>
          <w:sz w:val="20"/>
          <w:szCs w:val="20"/>
          <w:color w:val="auto"/>
        </w:rPr>
      </w:pPr>
    </w:p>
    <w:p>
      <w:pPr>
        <w:ind w:left="980" w:right="2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7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certain documentation stating that all conditions precedent to covenant defeasance have been complied with.</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76" w:lineRule="exact"/>
        <w:rPr>
          <w:sz w:val="20"/>
          <w:szCs w:val="20"/>
          <w:color w:val="auto"/>
        </w:rPr>
      </w:pPr>
    </w:p>
    <w:p>
      <w:pPr>
        <w:ind w:left="980" w:right="2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75"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8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legal defeasance have been complied with.</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7" w:name="page38"/>
    <w:bookmarkEnd w:id="37"/>
    <w:p>
      <w:pPr>
        <w:ind w:firstLine="648"/>
        <w:spacing w:after="0" w:line="261" w:lineRule="auto"/>
        <w:rPr>
          <w:sz w:val="20"/>
          <w:szCs w:val="20"/>
          <w:color w:val="auto"/>
        </w:rPr>
      </w:pPr>
      <w:r>
        <w:rPr>
          <w:rFonts w:ascii="Times New Roman" w:cs="Times New Roman" w:eastAsia="Times New Roman" w:hAnsi="Times New Roman"/>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“Senior Indebtedness” will be defined in an applicable indenture as the principal of (and premium, if any) and unpaid interest on:</w:t>
      </w:r>
    </w:p>
    <w:p>
      <w:pPr>
        <w:spacing w:after="0" w:line="225" w:lineRule="exact"/>
        <w:rPr>
          <w:sz w:val="20"/>
          <w:szCs w:val="20"/>
          <w:color w:val="auto"/>
        </w:rPr>
      </w:pPr>
    </w:p>
    <w:p>
      <w:pPr>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such indebtedness.</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name the indenture trustee for each series of indenture securities in the related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6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shares of common stock or shares of preferred stock that may be purchased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shares of preferred stock that may be purchased upon exercise of a warrant and the price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9" w:name="page40"/>
    <w:bookmarkEnd w:id="39"/>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debt securities will describe the terms of those warrants, including the following:</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that the warrants are issued with and the number of warrants issued with each debt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debt securities issued with them will be separately transferable;</w:t>
      </w:r>
    </w:p>
    <w:p>
      <w:pPr>
        <w:spacing w:after="0" w:line="225"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warrant and the price at which the debt securities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the warrant certificates or debt securities that may be issued upon exercise of the warrants will be issued in registered or bearer form;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book-entry procedures,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United States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0"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We may issue, in one or more series, units consisting of common stock, preferred stock, or warrants for the purchase of common stock or preferred stock in any combination. We urge you to read the applicable prospectus supplement and any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form of unit agreement and any supplemental agreements that describe the terms of the series of units we are offering before the issuance of the related series of units.</w:t>
      </w:r>
    </w:p>
    <w:p>
      <w:pPr>
        <w:spacing w:after="0" w:line="16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Units may be issued under a unit agreement that we enter into with a unit agent. We will indicate the name and address of the unit agent, if applicable, in the prospectus supplement relating to the particular series of units being offered.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225" w:lineRule="exact"/>
        <w:rPr>
          <w:sz w:val="20"/>
          <w:szCs w:val="20"/>
          <w:color w:val="auto"/>
        </w:rPr>
      </w:pPr>
    </w:p>
    <w:p>
      <w:pPr>
        <w:ind w:left="980" w:right="54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composing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Selling stockholders are persons or entities that, directly or indirectly, have acquired or will from time to time acquire from us, our securities. If the registration statement of which this prospectus is a part is used by any selling stockholder for the resale of any shares of our common stock registered thereunder, information about such selling stockholder, its beneficial ownership of our securities and its relationship with us will be set forth in a supplement to this prospectus, or in one or more documents incorporated by reference into this prospectus or the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any selling stockholder may sell our securities from time to time:</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184" w:lineRule="auto"/>
        <w:tabs>
          <w:tab w:leader="none" w:pos="98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 block trades in which the broker-dealer will attempt to sell the shares as agent but may position and resell a portion of the block as principal to facilitate the transaction;</w:t>
      </w:r>
    </w:p>
    <w:p>
      <w:pPr>
        <w:spacing w:after="0" w:line="198" w:lineRule="exact"/>
        <w:rPr>
          <w:rFonts w:ascii="Times New Roman" w:cs="Times New Roman" w:eastAsia="Times New Roman" w:hAnsi="Times New Roman"/>
          <w:sz w:val="34"/>
          <w:szCs w:val="34"/>
          <w:color w:val="auto"/>
          <w:vertAlign w:val="subscript"/>
        </w:rPr>
      </w:pPr>
    </w:p>
    <w:p>
      <w:pPr>
        <w:ind w:left="980" w:right="420" w:hanging="324"/>
        <w:spacing w:after="0" w:line="184" w:lineRule="auto"/>
        <w:tabs>
          <w:tab w:leader="none" w:pos="98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in “at the market offerings,” within the meaning of Rule 415(a)(4) of the Securities Act, to or through a market maker or into an existing trading market, on an exchange or otherwise;</w:t>
      </w:r>
    </w:p>
    <w:p>
      <w:pPr>
        <w:spacing w:after="0" w:line="198" w:lineRule="exact"/>
        <w:rPr>
          <w:rFonts w:ascii="Times New Roman" w:cs="Times New Roman" w:eastAsia="Times New Roman" w:hAnsi="Times New Roman"/>
          <w:sz w:val="34"/>
          <w:szCs w:val="34"/>
          <w:color w:val="auto"/>
          <w:vertAlign w:val="subscript"/>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law.</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or selling stockholders may directly solicit offers to purchase securities, or agents may be designated to solicit such offers. In any applicable prospectus supplement relating to such offering, we will name any agent that could be viewed as an underwriter under the Securities Act and describe any commissions that we or selling stockholders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our securities stock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with respect to a particular offering) will describe the terms of the offering of our securities, including the following:</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agent or any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stockholders, if any;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2" w:name="page43"/>
    <w:bookmarkEnd w:id="42"/>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of the securities or other consideration therefor, and the proceeds, if any,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 or any selling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commissions to be allowed or paid to the agent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will be listed.</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our securities in respect of which this prospectus is delivered, we or selling stockholders will enter into an underwriting agreement, sales agreement or other agreement with them at the time of sale to them, and we will set forth in the applicable prospectus supplement relating to such offering the names of the underwriters or agents and the terms of the related agreement with them.</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offer the securities, and selling stockholders may sell shares of our common stock, to the public through underwriting syndicates represented by managing underwriters or by underwriters without a syndicate. In connection with the offering of securities, we or selling stockholders may grant to the underwriters an option to purchase additional securities with an additional underwriting commission, as may be set forth in the applicable prospectus supplement.</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a selling stockholder, or an underwriter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or selling stockholders may provide agents and underwriters with indemnification against civil liabilities, including liabilities under the Securities Act, or contribution with respect to payments that the agents or underwriters may make with respect to those liabilities.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Selling stockholders may be deemed to be underwriters under the Securities Act in connection with the common stock they resell and any profits on the sales may be deemed to be underwriting discounts and commissions under the Securities Act.</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selling stockholders will authorize underwriters or other persons acting as agents to solicit offers by certain institutions to purchase securities from us or selling stockholders pursuant to delayed delivery contracts providing for payment and delivery on the date stated in the applicable prospectus supplement. Each contract will be for an amount not less than, and the aggregate amount of securities sold pursuant to such contracts shall not be less nor more than, the respective amounts stated in the applicable prospectus supplement. Institutions with whom the contracts, when authorized, may be made include commercial and savings banks, insurance companies, pension funds, investment companies, educational and charitable institutions and other institutions. Delayed delivery contracts will not be subject to any conditions except that:</w:t>
      </w:r>
    </w:p>
    <w:p>
      <w:pPr>
        <w:spacing w:after="0" w:line="187" w:lineRule="exact"/>
        <w:rPr>
          <w:sz w:val="20"/>
          <w:szCs w:val="20"/>
          <w:color w:val="auto"/>
        </w:rPr>
      </w:pPr>
    </w:p>
    <w:p>
      <w:pPr>
        <w:ind w:left="980" w:right="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firstLine="648"/>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selling stockholders or one or more of our respective affiliates in the ordinary course of business for which they receive compensation.</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our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our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Rule 15c6-1 of the Securities Exchange Act of 1934, or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shares of common stock being offered by this prospectus will be passed upon for us by The Doney Law Firm, and for any underwriters or agents by counsel named in the applicable prospectus supplement.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OptimizeRx Corporation as of December 31, 2019, and for the year then ended have been incorporated by reference herein in reliance upon the report, of Marcum LLP, an independent registered public accounting firm, given on the authority of said firm as experts in auditing and accounting.</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OptimizeRx Corporation as of December 31, 2018 and for the year then ended have been incorporated by reference herein in reliance upon the report of Sadler Gibb &amp; Associates, LLC, independent registered public accounting firm, given on the authority of said firm as experts in auditing and accounting.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Exchange Act, and in accordance with the Exchange Act,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Our corporate website address is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prospectus is an inactive textual reference only.</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that we filed with the SEC under the Securities Act and does not contain all of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spacing w:after="0" w:line="18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March 26, 2020 (File No. 001-38543);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our Quarterly Reports on Form 10-Q for the quarters ended March 31, 2020, June 30, 2020 and September 30, 2020, filed with the SEC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 xml:space="preserve">August 5, 2020 </w:t>
        </w:r>
      </w:hyperlink>
      <w:hyperlink r:id="rId3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November 9, 2020</w:t>
        </w:r>
      </w:hyperlink>
      <w:hyperlink r:id="rId37">
        <w:r>
          <w:rPr>
            <w:rFonts w:ascii="Times New Roman" w:cs="Times New Roman" w:eastAsia="Times New Roman" w:hAnsi="Times New Roman"/>
            <w:sz w:val="18"/>
            <w:szCs w:val="18"/>
            <w:color w:val="000000"/>
          </w:rPr>
          <w:t>, respectively (File No. 001-38543);</w:t>
        </w:r>
      </w:hyperlink>
    </w:p>
    <w:p>
      <w:pPr>
        <w:spacing w:after="0" w:line="161" w:lineRule="exact"/>
        <w:rPr>
          <w:rFonts w:ascii="Times New Roman" w:cs="Times New Roman" w:eastAsia="Times New Roman" w:hAnsi="Times New Roman"/>
          <w:sz w:val="18"/>
          <w:szCs w:val="18"/>
          <w:color w:val="0000EE"/>
        </w:rPr>
      </w:pPr>
    </w:p>
    <w:p>
      <w:pPr>
        <w:ind w:left="660" w:hanging="328"/>
        <w:spacing w:after="0" w:line="255" w:lineRule="auto"/>
        <w:tabs>
          <w:tab w:leader="none" w:pos="660" w:val="left"/>
        </w:tabs>
        <w:numPr>
          <w:ilvl w:val="0"/>
          <w:numId w:val="3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6">
        <w:r>
          <w:rPr>
            <w:rFonts w:ascii="Times New Roman" w:cs="Times New Roman" w:eastAsia="Times New Roman" w:hAnsi="Times New Roman"/>
            <w:sz w:val="18"/>
            <w:szCs w:val="18"/>
            <w:u w:val="single" w:color="auto"/>
            <w:color w:val="0000EE"/>
          </w:rPr>
          <w:t xml:space="preserve">January 29, 2020, </w:t>
        </w:r>
      </w:hyperlink>
      <w:hyperlink r:id="rId97">
        <w:r>
          <w:rPr>
            <w:rFonts w:ascii="Times New Roman" w:cs="Times New Roman" w:eastAsia="Times New Roman" w:hAnsi="Times New Roman"/>
            <w:sz w:val="18"/>
            <w:szCs w:val="18"/>
            <w:u w:val="single" w:color="auto"/>
            <w:color w:val="auto"/>
          </w:rPr>
          <w:t xml:space="preserve">February </w:t>
        </w:r>
        <w:r>
          <w:rPr>
            <w:rFonts w:ascii="Times New Roman" w:cs="Times New Roman" w:eastAsia="Times New Roman" w:hAnsi="Times New Roman"/>
            <w:sz w:val="18"/>
            <w:szCs w:val="18"/>
            <w:u w:val="single" w:color="auto"/>
            <w:color w:val="0000EE"/>
          </w:rPr>
          <w:t xml:space="preserve">18, 2020, </w:t>
        </w:r>
      </w:hyperlink>
      <w:hyperlink r:id="rId98">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 xml:space="preserve">2, 2020, </w:t>
        </w:r>
      </w:hyperlink>
      <w:hyperlink r:id="rId99">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 xml:space="preserve">3, 2020, </w:t>
        </w:r>
      </w:hyperlink>
      <w:hyperlink r:id="rId100">
        <w:r>
          <w:rPr>
            <w:rFonts w:ascii="Times New Roman" w:cs="Times New Roman" w:eastAsia="Times New Roman" w:hAnsi="Times New Roman"/>
            <w:sz w:val="18"/>
            <w:szCs w:val="18"/>
            <w:u w:val="single" w:color="auto"/>
            <w:color w:val="auto"/>
          </w:rPr>
          <w:t xml:space="preserve">March </w:t>
        </w:r>
        <w:r>
          <w:rPr>
            <w:rFonts w:ascii="Times New Roman" w:cs="Times New Roman" w:eastAsia="Times New Roman" w:hAnsi="Times New Roman"/>
            <w:sz w:val="18"/>
            <w:szCs w:val="18"/>
            <w:u w:val="single" w:color="auto"/>
            <w:color w:val="0000EE"/>
          </w:rPr>
          <w:t>6, 2020,</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March 9, 2020, March 10, 2020, March 11, 2020, March 12, 2020, March 16, 2020, March 18, 2020, March 25, 2020, April 2, 2020, April 6,</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 xml:space="preserve">2020, </w:t>
        </w:r>
      </w:hyperlink>
      <w:hyperlink r:id="rId102">
        <w:r>
          <w:rPr>
            <w:rFonts w:ascii="Times New Roman" w:cs="Times New Roman" w:eastAsia="Times New Roman" w:hAnsi="Times New Roman"/>
            <w:sz w:val="18"/>
            <w:szCs w:val="18"/>
            <w:u w:val="single" w:color="auto"/>
            <w:color w:val="0000EE"/>
          </w:rPr>
          <w:t xml:space="preserve">April 9, 2020, </w:t>
        </w:r>
      </w:hyperlink>
      <w:hyperlink r:id="rId103">
        <w:r>
          <w:rPr>
            <w:rFonts w:ascii="Times New Roman" w:cs="Times New Roman" w:eastAsia="Times New Roman" w:hAnsi="Times New Roman"/>
            <w:sz w:val="18"/>
            <w:szCs w:val="18"/>
            <w:u w:val="single" w:color="auto"/>
            <w:color w:val="0000EE"/>
          </w:rPr>
          <w:t xml:space="preserve">April 17, 2020, </w:t>
        </w:r>
      </w:hyperlink>
      <w:hyperlink r:id="rId104">
        <w:r>
          <w:rPr>
            <w:rFonts w:ascii="Times New Roman" w:cs="Times New Roman" w:eastAsia="Times New Roman" w:hAnsi="Times New Roman"/>
            <w:sz w:val="18"/>
            <w:szCs w:val="18"/>
            <w:u w:val="single" w:color="auto"/>
            <w:color w:val="0000EE"/>
          </w:rPr>
          <w:t xml:space="preserve">April 22, 2020, </w:t>
        </w:r>
      </w:hyperlink>
      <w:hyperlink r:id="rId105">
        <w:r>
          <w:rPr>
            <w:rFonts w:ascii="Times New Roman" w:cs="Times New Roman" w:eastAsia="Times New Roman" w:hAnsi="Times New Roman"/>
            <w:sz w:val="18"/>
            <w:szCs w:val="18"/>
            <w:u w:val="single" w:color="auto"/>
            <w:color w:val="0000EE"/>
          </w:rPr>
          <w:t xml:space="preserve">May 6, 2020, </w:t>
        </w:r>
      </w:hyperlink>
      <w:hyperlink r:id="rId106">
        <w:r>
          <w:rPr>
            <w:rFonts w:ascii="Times New Roman" w:cs="Times New Roman" w:eastAsia="Times New Roman" w:hAnsi="Times New Roman"/>
            <w:sz w:val="18"/>
            <w:szCs w:val="18"/>
            <w:u w:val="single" w:color="auto"/>
            <w:color w:val="0000EE"/>
          </w:rPr>
          <w:t xml:space="preserve">May 7, 2020, </w:t>
        </w:r>
      </w:hyperlink>
      <w:hyperlink r:id="rId107">
        <w:r>
          <w:rPr>
            <w:rFonts w:ascii="Times New Roman" w:cs="Times New Roman" w:eastAsia="Times New Roman" w:hAnsi="Times New Roman"/>
            <w:sz w:val="18"/>
            <w:szCs w:val="18"/>
            <w:u w:val="single" w:color="auto"/>
            <w:color w:val="0000EE"/>
          </w:rPr>
          <w:t xml:space="preserve">May 8, 2020, </w:t>
        </w:r>
      </w:hyperlink>
      <w:hyperlink r:id="rId108">
        <w:r>
          <w:rPr>
            <w:rFonts w:ascii="Times New Roman" w:cs="Times New Roman" w:eastAsia="Times New Roman" w:hAnsi="Times New Roman"/>
            <w:sz w:val="18"/>
            <w:szCs w:val="18"/>
            <w:u w:val="single" w:color="auto"/>
            <w:color w:val="0000EE"/>
          </w:rPr>
          <w:t xml:space="preserve">May 13, 2020, </w:t>
        </w:r>
      </w:hyperlink>
      <w:hyperlink r:id="rId109">
        <w:r>
          <w:rPr>
            <w:rFonts w:ascii="Times New Roman" w:cs="Times New Roman" w:eastAsia="Times New Roman" w:hAnsi="Times New Roman"/>
            <w:sz w:val="18"/>
            <w:szCs w:val="18"/>
            <w:u w:val="single" w:color="auto"/>
            <w:color w:val="0000EE"/>
          </w:rPr>
          <w:t>May 19, 2020</w:t>
        </w:r>
      </w:hyperlink>
      <w:hyperlink r:id="rId101">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u w:val="single" w:color="auto"/>
            <w:color w:val="0000EE"/>
          </w:rPr>
          <w:t xml:space="preserve"> </w:t>
        </w:r>
      </w:hyperlink>
      <w:hyperlink r:id="rId110">
        <w:r>
          <w:rPr>
            <w:rFonts w:ascii="Times New Roman" w:cs="Times New Roman" w:eastAsia="Times New Roman" w:hAnsi="Times New Roman"/>
            <w:sz w:val="18"/>
            <w:szCs w:val="18"/>
            <w:u w:val="single" w:color="auto"/>
            <w:color w:val="0000EE"/>
          </w:rPr>
          <w:t>June 1, 2020,</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June 10,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2">
        <w:r>
          <w:rPr>
            <w:rFonts w:ascii="Times New Roman" w:cs="Times New Roman" w:eastAsia="Times New Roman" w:hAnsi="Times New Roman"/>
            <w:sz w:val="18"/>
            <w:szCs w:val="18"/>
            <w:u w:val="single" w:color="auto"/>
            <w:color w:val="0000EE"/>
          </w:rPr>
          <w:t xml:space="preserve">June 26, 2020, </w:t>
        </w:r>
      </w:hyperlink>
      <w:hyperlink r:id="rId113">
        <w:r>
          <w:rPr>
            <w:rFonts w:ascii="Times New Roman" w:cs="Times New Roman" w:eastAsia="Times New Roman" w:hAnsi="Times New Roman"/>
            <w:sz w:val="18"/>
            <w:szCs w:val="18"/>
            <w:u w:val="single" w:color="auto"/>
            <w:color w:val="0000EE"/>
          </w:rPr>
          <w:t xml:space="preserve">June 29, 2020, </w:t>
        </w:r>
      </w:hyperlink>
      <w:hyperlink r:id="rId114">
        <w:r>
          <w:rPr>
            <w:rFonts w:ascii="Times New Roman" w:cs="Times New Roman" w:eastAsia="Times New Roman" w:hAnsi="Times New Roman"/>
            <w:sz w:val="18"/>
            <w:szCs w:val="18"/>
            <w:u w:val="single" w:color="auto"/>
            <w:color w:val="0000EE"/>
          </w:rPr>
          <w:t xml:space="preserve">July 7, 2020, </w:t>
        </w:r>
      </w:hyperlink>
      <w:hyperlink r:id="rId115">
        <w:r>
          <w:rPr>
            <w:rFonts w:ascii="Times New Roman" w:cs="Times New Roman" w:eastAsia="Times New Roman" w:hAnsi="Times New Roman"/>
            <w:sz w:val="18"/>
            <w:szCs w:val="18"/>
            <w:u w:val="single" w:color="auto"/>
            <w:color w:val="0000EE"/>
          </w:rPr>
          <w:t xml:space="preserve">July 10, 2020, </w:t>
        </w:r>
      </w:hyperlink>
      <w:hyperlink r:id="rId116">
        <w:r>
          <w:rPr>
            <w:rFonts w:ascii="Times New Roman" w:cs="Times New Roman" w:eastAsia="Times New Roman" w:hAnsi="Times New Roman"/>
            <w:sz w:val="18"/>
            <w:szCs w:val="18"/>
            <w:u w:val="single" w:color="auto"/>
            <w:color w:val="0000EE"/>
          </w:rPr>
          <w:t xml:space="preserve">July 22, 2020, </w:t>
        </w:r>
      </w:hyperlink>
      <w:hyperlink r:id="rId117">
        <w:r>
          <w:rPr>
            <w:rFonts w:ascii="Times New Roman" w:cs="Times New Roman" w:eastAsia="Times New Roman" w:hAnsi="Times New Roman"/>
            <w:sz w:val="18"/>
            <w:szCs w:val="18"/>
            <w:u w:val="single" w:color="auto"/>
            <w:color w:val="0000EE"/>
          </w:rPr>
          <w:t xml:space="preserve">July 28, 2020, </w:t>
        </w:r>
      </w:hyperlink>
      <w:hyperlink r:id="rId118">
        <w:r>
          <w:rPr>
            <w:rFonts w:ascii="Times New Roman" w:cs="Times New Roman" w:eastAsia="Times New Roman" w:hAnsi="Times New Roman"/>
            <w:sz w:val="18"/>
            <w:szCs w:val="18"/>
            <w:u w:val="single" w:color="auto"/>
            <w:color w:val="0000EE"/>
          </w:rPr>
          <w:t xml:space="preserve">August 7, 2020, </w:t>
        </w:r>
      </w:hyperlink>
      <w:hyperlink r:id="rId119">
        <w:r>
          <w:rPr>
            <w:rFonts w:ascii="Times New Roman" w:cs="Times New Roman" w:eastAsia="Times New Roman" w:hAnsi="Times New Roman"/>
            <w:sz w:val="18"/>
            <w:szCs w:val="18"/>
            <w:u w:val="single" w:color="auto"/>
            <w:color w:val="0000EE"/>
          </w:rPr>
          <w:t>August 20, 2020,</w:t>
        </w:r>
      </w:hyperlink>
      <w:r>
        <w:rPr>
          <w:rFonts w:ascii="Times New Roman" w:cs="Times New Roman" w:eastAsia="Times New Roman" w:hAnsi="Times New Roman"/>
          <w:sz w:val="18"/>
          <w:szCs w:val="18"/>
          <w:color w:val="0000EE"/>
        </w:rPr>
        <w:t xml:space="preserve"> </w:t>
      </w:r>
      <w:hyperlink r:id="rId120">
        <w:r>
          <w:rPr>
            <w:rFonts w:ascii="Times New Roman" w:cs="Times New Roman" w:eastAsia="Times New Roman" w:hAnsi="Times New Roman"/>
            <w:sz w:val="18"/>
            <w:szCs w:val="18"/>
            <w:u w:val="single" w:color="auto"/>
            <w:color w:val="0000EE"/>
          </w:rPr>
          <w:t xml:space="preserve">August 24, 2020, </w:t>
        </w:r>
      </w:hyperlink>
      <w:hyperlink r:id="rId121">
        <w:r>
          <w:rPr>
            <w:rFonts w:ascii="Times New Roman" w:cs="Times New Roman" w:eastAsia="Times New Roman" w:hAnsi="Times New Roman"/>
            <w:sz w:val="18"/>
            <w:szCs w:val="18"/>
            <w:u w:val="single" w:color="auto"/>
            <w:color w:val="0000EE"/>
          </w:rPr>
          <w:t xml:space="preserve">September 9, 2020, </w:t>
        </w:r>
      </w:hyperlink>
      <w:hyperlink r:id="rId122">
        <w:r>
          <w:rPr>
            <w:rFonts w:ascii="Times New Roman" w:cs="Times New Roman" w:eastAsia="Times New Roman" w:hAnsi="Times New Roman"/>
            <w:sz w:val="18"/>
            <w:szCs w:val="18"/>
            <w:u w:val="single" w:color="auto"/>
            <w:color w:val="0000EE"/>
          </w:rPr>
          <w:t xml:space="preserve">September 15, 2020, </w:t>
        </w:r>
      </w:hyperlink>
      <w:hyperlink r:id="rId123">
        <w:r>
          <w:rPr>
            <w:rFonts w:ascii="Times New Roman" w:cs="Times New Roman" w:eastAsia="Times New Roman" w:hAnsi="Times New Roman"/>
            <w:sz w:val="18"/>
            <w:szCs w:val="18"/>
            <w:u w:val="single" w:color="auto"/>
            <w:color w:val="0000EE"/>
          </w:rPr>
          <w:t xml:space="preserve">September 21, 2020, </w:t>
        </w:r>
      </w:hyperlink>
      <w:hyperlink r:id="rId124">
        <w:r>
          <w:rPr>
            <w:rFonts w:ascii="Times New Roman" w:cs="Times New Roman" w:eastAsia="Times New Roman" w:hAnsi="Times New Roman"/>
            <w:sz w:val="18"/>
            <w:szCs w:val="18"/>
            <w:u w:val="single" w:color="auto"/>
            <w:color w:val="0000EE"/>
          </w:rPr>
          <w:t xml:space="preserve">November 12, 2020, November 12, 2020, </w:t>
        </w:r>
      </w:hyperlink>
      <w:hyperlink r:id="rId125">
        <w:r>
          <w:rPr>
            <w:rFonts w:ascii="Times New Roman" w:cs="Times New Roman" w:eastAsia="Times New Roman" w:hAnsi="Times New Roman"/>
            <w:sz w:val="18"/>
            <w:szCs w:val="18"/>
            <w:u w:val="single" w:color="auto"/>
            <w:color w:val="0000EE"/>
          </w:rPr>
          <w:t>November 17, 2020,</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 xml:space="preserve">November 19, 2020, November 19, 2020, </w:t>
        </w:r>
      </w:hyperlink>
      <w:hyperlink r:id="rId127">
        <w:r>
          <w:rPr>
            <w:rFonts w:ascii="Times New Roman" w:cs="Times New Roman" w:eastAsia="Times New Roman" w:hAnsi="Times New Roman"/>
            <w:sz w:val="18"/>
            <w:szCs w:val="18"/>
            <w:u w:val="single" w:color="auto"/>
            <w:color w:val="0000EE"/>
          </w:rPr>
          <w:t xml:space="preserve">December 3, 2020, </w:t>
        </w:r>
      </w:hyperlink>
      <w:hyperlink r:id="rId128">
        <w:r>
          <w:rPr>
            <w:rFonts w:ascii="Times New Roman" w:cs="Times New Roman" w:eastAsia="Times New Roman" w:hAnsi="Times New Roman"/>
            <w:sz w:val="18"/>
            <w:szCs w:val="18"/>
            <w:u w:val="single" w:color="auto"/>
            <w:color w:val="0000EE"/>
          </w:rPr>
          <w:t xml:space="preserve">December 7, 2020, </w:t>
        </w:r>
      </w:hyperlink>
      <w:hyperlink r:id="rId129">
        <w:r>
          <w:rPr>
            <w:rFonts w:ascii="Times New Roman" w:cs="Times New Roman" w:eastAsia="Times New Roman" w:hAnsi="Times New Roman"/>
            <w:sz w:val="18"/>
            <w:szCs w:val="18"/>
            <w:u w:val="single" w:color="auto"/>
            <w:color w:val="0000EE"/>
          </w:rPr>
          <w:t xml:space="preserve">December 9, 2020, </w:t>
        </w:r>
      </w:hyperlink>
      <w:hyperlink r:id="rId130">
        <w:r>
          <w:rPr>
            <w:rFonts w:ascii="Times New Roman" w:cs="Times New Roman" w:eastAsia="Times New Roman" w:hAnsi="Times New Roman"/>
            <w:sz w:val="18"/>
            <w:szCs w:val="18"/>
            <w:u w:val="single" w:color="auto"/>
            <w:color w:val="0000EE"/>
          </w:rPr>
          <w:t xml:space="preserve">December 11, 2020, </w:t>
        </w:r>
      </w:hyperlink>
      <w:hyperlink r:id="rId131">
        <w:r>
          <w:rPr>
            <w:rFonts w:ascii="Times New Roman" w:cs="Times New Roman" w:eastAsia="Times New Roman" w:hAnsi="Times New Roman"/>
            <w:sz w:val="18"/>
            <w:szCs w:val="18"/>
            <w:u w:val="single" w:color="auto"/>
            <w:color w:val="0000EE"/>
          </w:rPr>
          <w:t>January 6, 2021,</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January 15,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33">
        <w:r>
          <w:rPr>
            <w:rFonts w:ascii="Times New Roman" w:cs="Times New Roman" w:eastAsia="Times New Roman" w:hAnsi="Times New Roman"/>
            <w:sz w:val="18"/>
            <w:szCs w:val="18"/>
            <w:u w:val="single" w:color="auto"/>
            <w:color w:val="0000EE"/>
          </w:rPr>
          <w:t xml:space="preserve">January 22, 2021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001-38543); and</w:t>
      </w:r>
    </w:p>
    <w:p>
      <w:pPr>
        <w:spacing w:after="0" w:line="188" w:lineRule="exact"/>
        <w:rPr>
          <w:rFonts w:ascii="Times New Roman" w:cs="Times New Roman" w:eastAsia="Times New Roman" w:hAnsi="Times New Roman"/>
          <w:sz w:val="18"/>
          <w:szCs w:val="18"/>
          <w:color w:val="0000EE"/>
        </w:rPr>
      </w:pPr>
    </w:p>
    <w:p>
      <w:pPr>
        <w:ind w:left="660" w:right="8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contained in the Registration Statement on </w:t>
      </w:r>
      <w:hyperlink r:id="rId13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June 19, 2018 (File No. 001-38543), as supplemented by the “Description of Capital Stock” found on page 4 of this base prospectus and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Secretary</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400 Water Street, Suite 200</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Rochester, MI 48307</w:t>
      </w:r>
    </w:p>
    <w:p>
      <w:pPr>
        <w:spacing w:after="0" w:line="9"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(248) 651-6568</w:t>
      </w:r>
    </w:p>
    <w:p>
      <w:pPr>
        <w:spacing w:after="0" w:line="205" w:lineRule="exact"/>
        <w:rPr>
          <w:rFonts w:ascii="Times New Roman" w:cs="Times New Roman" w:eastAsia="Times New Roman" w:hAnsi="Times New Roman"/>
          <w:sz w:val="18"/>
          <w:szCs w:val="18"/>
          <w:color w:val="0000EE"/>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Copies of these filings are also available, without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as soon as reasonably practicable after they are filed electronically with the SEC. The information contained on our website is not a part of this prospectus.</w:t>
      </w:r>
    </w:p>
    <w:p>
      <w:pPr>
        <w:spacing w:after="0" w:line="36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1208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6">
                      <a:extLst>
                        <a:ext uri="{28A0092B-C50C-407E-A947-70E740481C1C}"/>
                      </a:extLst>
                    </a:blip>
                    <a:srcRect/>
                    <a:stretch>
                      <a:fillRect/>
                    </a:stretch>
                  </pic:blipFill>
                  <pic:spPr bwMode="auto">
                    <a:xfrm>
                      <a:off x="0" y="0"/>
                      <a:ext cx="51435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16"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22"/>
          <w:szCs w:val="22"/>
          <w:b w:val="1"/>
          <w:bCs w:val="1"/>
          <w:color w:val="auto"/>
        </w:rPr>
        <w:t>William Blair</w:t>
      </w:r>
      <w:r>
        <w:rPr>
          <w:sz w:val="20"/>
          <w:szCs w:val="20"/>
          <w:color w:val="auto"/>
        </w:rPr>
        <w:tab/>
      </w:r>
      <w:r>
        <w:rPr>
          <w:rFonts w:ascii="Times New Roman" w:cs="Times New Roman" w:eastAsia="Times New Roman" w:hAnsi="Times New Roman"/>
          <w:sz w:val="21"/>
          <w:szCs w:val="21"/>
          <w:b w:val="1"/>
          <w:bCs w:val="1"/>
          <w:color w:val="auto"/>
        </w:rPr>
        <w:t>RBC Capital Markets</w:t>
      </w:r>
    </w:p>
    <w:p>
      <w:pPr>
        <w:spacing w:after="0" w:line="219" w:lineRule="exact"/>
        <w:rPr>
          <w:sz w:val="20"/>
          <w:szCs w:val="20"/>
          <w:color w:val="auto"/>
        </w:rPr>
      </w:pPr>
    </w:p>
    <w:p>
      <w:pPr>
        <w:jc w:val="center"/>
        <w:ind w:left="4900"/>
        <w:spacing w:after="0"/>
        <w:tabs>
          <w:tab w:leader="none" w:pos="300" w:val="left"/>
        </w:tabs>
        <w:rPr>
          <w:sz w:val="20"/>
          <w:szCs w:val="20"/>
          <w:color w:val="auto"/>
        </w:rPr>
      </w:pPr>
      <w:r>
        <w:rPr>
          <w:rFonts w:ascii="Times New Roman" w:cs="Times New Roman" w:eastAsia="Times New Roman" w:hAnsi="Times New Roman"/>
          <w:sz w:val="18"/>
          <w:szCs w:val="18"/>
          <w:color w:val="auto"/>
        </w:rPr>
        <w:t>February</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1525905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upperLetter"/>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jpeg"/><Relationship Id="rId71" Type="http://schemas.openxmlformats.org/officeDocument/2006/relationships/image" Target="media/image31.png"/><Relationship Id="rId72" Type="http://schemas.openxmlformats.org/officeDocument/2006/relationships/image" Target="media/image32.png"/><Relationship Id="rId73"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135" Type="http://schemas.openxmlformats.org/officeDocument/2006/relationships/image" Target="media/image56.png"/><Relationship Id="rId136" Type="http://schemas.openxmlformats.org/officeDocument/2006/relationships/image" Target="media/image57.jpeg"/><Relationship Id="rId137" Type="http://schemas.openxmlformats.org/officeDocument/2006/relationships/image" Target="media/image58.png"/><Relationship Id="rId36" Type="http://schemas.openxmlformats.org/officeDocument/2006/relationships/hyperlink" Target="http://www.sec.gov/Archives/edgar/data/1448431/000121390020007491/f10k2019_optimizerxcorp.htm" TargetMode="External"/><Relationship Id="rId37" Type="http://schemas.openxmlformats.org/officeDocument/2006/relationships/hyperlink" Target="http://www.sec.gov/Archives/edgar/data/1448431/000121390020011158/f10q0320_optimizerx.htm" TargetMode="External"/><Relationship Id="rId38" Type="http://schemas.openxmlformats.org/officeDocument/2006/relationships/hyperlink" Target="http://www.sec.gov/Archives/edgar/data/1448431/000121390020020375/f10q0620_optimizerxcorp.htm" TargetMode="External"/><Relationship Id="rId39" Type="http://schemas.openxmlformats.org/officeDocument/2006/relationships/hyperlink" Target="http://www.sec.gov/Archives/edgar/data/1448431/000121390020035891/f10q0920_optimizerx.htm" TargetMode="External"/><Relationship Id="rId40" Type="http://schemas.openxmlformats.org/officeDocument/2006/relationships/hyperlink" Target="http://www.sec.gov/Archives/edgar/data/1448431/000121390020002100/f8k012920_optimizerx.htm" TargetMode="External"/><Relationship Id="rId41" Type="http://schemas.openxmlformats.org/officeDocument/2006/relationships/hyperlink" Target="http://www.sec.gov/Archives/edgar/data/1448431/000121390020004131/f8k021820_optimizerxcorp.htm" TargetMode="External"/><Relationship Id="rId42" Type="http://schemas.openxmlformats.org/officeDocument/2006/relationships/hyperlink" Target="http://www.sec.gov/Archives/edgar/data/1448431/000121390020005137/ea119182-8k_optimizerx.htm" TargetMode="External"/><Relationship Id="rId43" Type="http://schemas.openxmlformats.org/officeDocument/2006/relationships/hyperlink" Target="http://www.sec.gov/Archives/edgar/data/1448431/000121390020005258/ea119241-8k_optimizerx.htm" TargetMode="External"/><Relationship Id="rId44" Type="http://schemas.openxmlformats.org/officeDocument/2006/relationships/hyperlink" Target="http://www.sec.gov/Archives/edgar/data/1448431/000121390020005596/ea119386-8k_optimizerxcorp.htm" TargetMode="External"/><Relationship Id="rId45" Type="http://schemas.openxmlformats.org/officeDocument/2006/relationships/hyperlink" Target="http://www.sec.gov/Archives/edgar/data/1448431/000121390020008624/ea120453-8k_optimizerx.htm" TargetMode="External"/><Relationship Id="rId46" Type="http://schemas.openxmlformats.org/officeDocument/2006/relationships/hyperlink" Target="http://www.sec.gov/Archives/edgar/data/1448431/000121390020008867/ea120541-8k_optimizerx.htm" TargetMode="External"/><Relationship Id="rId47" Type="http://schemas.openxmlformats.org/officeDocument/2006/relationships/hyperlink" Target="http://www.sec.gov/Archives/edgar/data/1448431/000121390020009488/ea120773-8k_optimizerx.htm" TargetMode="External"/><Relationship Id="rId48" Type="http://schemas.openxmlformats.org/officeDocument/2006/relationships/hyperlink" Target="http://www.sec.gov/Archives/edgar/data/1448431/000121390020009800/ea120942-8k_optimizerx.htm" TargetMode="External"/><Relationship Id="rId49" Type="http://schemas.openxmlformats.org/officeDocument/2006/relationships/hyperlink" Target="http://www.sec.gov/Archives/edgar/data/1448431/000121390020011117/ea121449-8k_optimizerxcorp.htm" TargetMode="External"/><Relationship Id="rId50" Type="http://schemas.openxmlformats.org/officeDocument/2006/relationships/hyperlink" Target="http://www.sec.gov/Archives/edgar/data/1448431/000121390020011286/ea121512-8k_optimizerx.htm" TargetMode="External"/><Relationship Id="rId51" Type="http://schemas.openxmlformats.org/officeDocument/2006/relationships/hyperlink" Target="http://www.sec.gov/Archives/edgar/data/1448431/000121390020011394/ea121560-8k_optimizerx.htm" TargetMode="External"/><Relationship Id="rId52" Type="http://schemas.openxmlformats.org/officeDocument/2006/relationships/hyperlink" Target="http://www.sec.gov/Archives/edgar/data/1448431/000121390020012040/ea121755-8k_optimizerx.htm" TargetMode="External"/><Relationship Id="rId53" Type="http://schemas.openxmlformats.org/officeDocument/2006/relationships/hyperlink" Target="http://www.sec.gov/Archives/edgar/data/1448431/000121390020012894/ea122102-8k_optimize.htm" TargetMode="External"/><Relationship Id="rId54" Type="http://schemas.openxmlformats.org/officeDocument/2006/relationships/hyperlink" Target="http://www.sec.gov/Archives/edgar/data/1448431/000121390020013773/ea122522-8k_optimizerx.htm" TargetMode="External"/><Relationship Id="rId55" Type="http://schemas.openxmlformats.org/officeDocument/2006/relationships/hyperlink" Target="http://www.sec.gov/Archives/edgar/data/1448431/000121390020014568/ea122879-8k_optimizerx.htm" TargetMode="External"/><Relationship Id="rId56" Type="http://schemas.openxmlformats.org/officeDocument/2006/relationships/hyperlink" Target="http://www.sec.gov/Archives/edgar/data/1448431/000121390020015991/ea123477-8k_optimizerx.htm" TargetMode="External"/><Relationship Id="rId57" Type="http://schemas.openxmlformats.org/officeDocument/2006/relationships/hyperlink" Target="http://www.sec.gov/Archives/edgar/data/1448431/000121390020016166/ea123605-8k_optimizerx.htm" TargetMode="External"/><Relationship Id="rId58" Type="http://schemas.openxmlformats.org/officeDocument/2006/relationships/hyperlink" Target="http://www.sec.gov/Archives/edgar/data/1448431/000121390020016870/ea123906-8k_optimizerxcorp.htm" TargetMode="External"/><Relationship Id="rId59" Type="http://schemas.openxmlformats.org/officeDocument/2006/relationships/hyperlink" Target="http://www.sec.gov/Archives/edgar/data/1448431/000121390020017235/ea124037-8k_optimizerxcorp.htm" TargetMode="External"/><Relationship Id="rId60" Type="http://schemas.openxmlformats.org/officeDocument/2006/relationships/hyperlink" Target="http://www.sec.gov/Archives/edgar/data/1448431/000121390020018238/ea124405-8k_optimizerx.htm" TargetMode="External"/><Relationship Id="rId61" Type="http://schemas.openxmlformats.org/officeDocument/2006/relationships/hyperlink" Target="http://www.sec.gov/Archives/edgar/data/1448431/000121390020018775/ea124573-8k_optimize.htm" TargetMode="External"/><Relationship Id="rId62" Type="http://schemas.openxmlformats.org/officeDocument/2006/relationships/hyperlink" Target="http://www.sec.gov/Archives/edgar/data/1448431/000121390020020802/ea125181-8k_optimizerxcorp.htm" TargetMode="External"/><Relationship Id="rId63" Type="http://schemas.openxmlformats.org/officeDocument/2006/relationships/hyperlink" Target="http://www.sec.gov/Archives/edgar/data/1448431/000121390020023057/ea125841-8k_optimizerx.htm" TargetMode="External"/><Relationship Id="rId64" Type="http://schemas.openxmlformats.org/officeDocument/2006/relationships/hyperlink" Target="http://www.sec.gov/Archives/edgar/data/1448431/000121390020037651/ea130082-8k_optimizerx.htm" TargetMode="External"/><Relationship Id="rId65" Type="http://schemas.openxmlformats.org/officeDocument/2006/relationships/hyperlink" Target="http://www.sec.gov/Archives/edgar/data/1448431/000121390021000670/ea132830-8k_optimizerx.htm" TargetMode="External"/><Relationship Id="rId66" Type="http://schemas.openxmlformats.org/officeDocument/2006/relationships/hyperlink" Target="http://www.sec.gov/Archives/edgar/data/1448431/000121390021002572/ea133463-8k_optimizerx.htm" TargetMode="External"/><Relationship Id="rId67" Type="http://schemas.openxmlformats.org/officeDocument/2006/relationships/hyperlink" Target="http://www.sec.gov/Archives/edgar/data/1448431/000121390021003675/ea133771-8k_optimizerx.htm" TargetMode="External"/><Relationship Id="rId68" Type="http://schemas.openxmlformats.org/officeDocument/2006/relationships/hyperlink" Target="http://www.sec.gov/Archives/edgar/data/1448431/000121390018007863/f8a12b061918_optimizerx.htm" TargetMode="External"/><Relationship Id="rId96" Type="http://schemas.openxmlformats.org/officeDocument/2006/relationships/hyperlink" Target="https://www.sec.gov/Archives/edgar/data/1448431/000121390020002100/f8k012920_optimizerx.htm" TargetMode="External"/><Relationship Id="rId97" Type="http://schemas.openxmlformats.org/officeDocument/2006/relationships/hyperlink" Target="https://www.sec.gov/Archives/edgar/data/1448431/000121390020004131/f8k021820_optimizerxcorp.htm" TargetMode="External"/><Relationship Id="rId98" Type="http://schemas.openxmlformats.org/officeDocument/2006/relationships/hyperlink" Target="https://www.sec.gov/Archives/edgar/data/1448431/000121390020005137/ea119182-8k_optimizerx.htm" TargetMode="External"/><Relationship Id="rId99" Type="http://schemas.openxmlformats.org/officeDocument/2006/relationships/hyperlink" Target="https://www.sec.gov/Archives/edgar/data/1448431/000121390020005258/ea119241-8k_optimizerx.htm" TargetMode="External"/><Relationship Id="rId100" Type="http://schemas.openxmlformats.org/officeDocument/2006/relationships/hyperlink" Target="https://www.sec.gov/Archives/edgar/data/1448431/000121390020005596/ea119386-8k_optimizerxcorp.htm" TargetMode="External"/><Relationship Id="rId101" Type="http://schemas.openxmlformats.org/officeDocument/2006/relationships/hyperlink" Target="https://www.sec.gov/Archives/edgar/data/1448431/000121390020008624/ea120453-8k_optimizerx.htm" TargetMode="External"/><Relationship Id="rId102" Type="http://schemas.openxmlformats.org/officeDocument/2006/relationships/hyperlink" Target="https://www.sec.gov/Archives/edgar/data/1448431/000121390020008867/ea120541-8k_optimizerx.htm" TargetMode="External"/><Relationship Id="rId103" Type="http://schemas.openxmlformats.org/officeDocument/2006/relationships/hyperlink" Target="https://www.sec.gov/Archives/edgar/data/1448431/000121390020009488/ea120773-8k_optimizerx.htm" TargetMode="External"/><Relationship Id="rId104" Type="http://schemas.openxmlformats.org/officeDocument/2006/relationships/hyperlink" Target="https://www.sec.gov/Archives/edgar/data/1448431/000121390020009800/ea120942-8k_optimizerx.htm" TargetMode="External"/><Relationship Id="rId105" Type="http://schemas.openxmlformats.org/officeDocument/2006/relationships/hyperlink" Target="https://www.sec.gov/Archives/edgar/data/1448431/000121390020011117/ea121449-8k_optimizerxcorp.htm" TargetMode="External"/><Relationship Id="rId106" Type="http://schemas.openxmlformats.org/officeDocument/2006/relationships/hyperlink" Target="https://www.sec.gov/Archives/edgar/data/1448431/000121390020011286/ea121512-8k_optimizerx.htm" TargetMode="External"/><Relationship Id="rId107" Type="http://schemas.openxmlformats.org/officeDocument/2006/relationships/hyperlink" Target="https://www.sec.gov/Archives/edgar/data/1448431/000121390020011394/ea121560-8k_optimizerx.htm" TargetMode="External"/><Relationship Id="rId108" Type="http://schemas.openxmlformats.org/officeDocument/2006/relationships/hyperlink" Target="https://www.sec.gov/Archives/edgar/data/1448431/000121390020012040/ea121755-8k_optimizerx.htm" TargetMode="External"/><Relationship Id="rId109" Type="http://schemas.openxmlformats.org/officeDocument/2006/relationships/hyperlink" Target="https://www.sec.gov/Archives/edgar/data/1448431/000121390020012894/ea122102-8k_optimize.htm" TargetMode="External"/><Relationship Id="rId110" Type="http://schemas.openxmlformats.org/officeDocument/2006/relationships/hyperlink" Target="https://www.sec.gov/Archives/edgar/data/1448431/000121390020013773/ea122522-8k_optimizerx.htm" TargetMode="External"/><Relationship Id="rId111" Type="http://schemas.openxmlformats.org/officeDocument/2006/relationships/hyperlink" Target="https://www.sec.gov/Archives/edgar/data/1448431/000121390020014568/ea122879-8k_optimizerx.htm" TargetMode="External"/><Relationship Id="rId112" Type="http://schemas.openxmlformats.org/officeDocument/2006/relationships/hyperlink" Target="https://www.sec.gov/Archives/edgar/data/1448431/000121390020015991/ea123477-8k_optimizerx.htm" TargetMode="External"/><Relationship Id="rId113" Type="http://schemas.openxmlformats.org/officeDocument/2006/relationships/hyperlink" Target="https://www.sec.gov/Archives/edgar/data/1448431/000121390020016166/ea123605-8k_optimizerx.htm" TargetMode="External"/><Relationship Id="rId114" Type="http://schemas.openxmlformats.org/officeDocument/2006/relationships/hyperlink" Target="https://www.sec.gov/Archives/edgar/data/1448431/000121390020016870/ea123906-8k_optimizerxcorp.htm" TargetMode="External"/><Relationship Id="rId115" Type="http://schemas.openxmlformats.org/officeDocument/2006/relationships/hyperlink" Target="https://www.sec.gov/Archives/edgar/data/1448431/000121390020017235/ea124037-8k_optimizerxcorp.htm" TargetMode="External"/><Relationship Id="rId116" Type="http://schemas.openxmlformats.org/officeDocument/2006/relationships/hyperlink" Target="https://www.sec.gov/Archives/edgar/data/1448431/000121390020018238/ea124405-8k_optimizerx.htm" TargetMode="External"/><Relationship Id="rId117" Type="http://schemas.openxmlformats.org/officeDocument/2006/relationships/hyperlink" Target="https://www.sec.gov/Archives/edgar/data/1448431/000121390020018775/ea124573-8k_optimize.htm" TargetMode="External"/><Relationship Id="rId118" Type="http://schemas.openxmlformats.org/officeDocument/2006/relationships/hyperlink" Target="https://www.sec.gov/Archives/edgar/data/1448431/000121390020020802/ea125181-8k_optimizerxcorp.htm" TargetMode="External"/><Relationship Id="rId119" Type="http://schemas.openxmlformats.org/officeDocument/2006/relationships/hyperlink" Target="https://www.sec.gov/Archives/edgar/data/1448431/000121390020023057/ea125841-8k_optimizerx.htm" TargetMode="External"/><Relationship Id="rId120" Type="http://schemas.openxmlformats.org/officeDocument/2006/relationships/hyperlink" Target="https://www.sec.gov/Archives/edgar/data/1448431/000121390020023388/ea125946-8k_optimizerx.htm" TargetMode="External"/><Relationship Id="rId121" Type="http://schemas.openxmlformats.org/officeDocument/2006/relationships/hyperlink" Target="https://www.sec.gov/Archives/edgar/data/1448431/000121390020025765/ea126625-8k_optimizerx.htm" TargetMode="External"/><Relationship Id="rId122" Type="http://schemas.openxmlformats.org/officeDocument/2006/relationships/hyperlink" Target="https://www.sec.gov/Archives/edgar/data/1448431/000121390020026656/ea126880-8k_optimizerxcorp.htm" TargetMode="External"/><Relationship Id="rId123" Type="http://schemas.openxmlformats.org/officeDocument/2006/relationships/hyperlink" Target="https://www.sec.gov/Archives/edgar/data/1448431/000121390020027474/ea127136-8k_optimizerx.htm" TargetMode="External"/><Relationship Id="rId124" Type="http://schemas.openxmlformats.org/officeDocument/2006/relationships/hyperlink" Target="https://www.sec.gov/Archives/edgar/data/1448431/000121390020036386/ea129686-8k_optimizerx.htm" TargetMode="External"/><Relationship Id="rId125" Type="http://schemas.openxmlformats.org/officeDocument/2006/relationships/hyperlink" Target="https://www.sec.gov/Archives/edgar/data/1448431/000121390020037651/ea130082-8k_optimizerx.htm" TargetMode="External"/><Relationship Id="rId126" Type="http://schemas.openxmlformats.org/officeDocument/2006/relationships/hyperlink" Target="https://www.sec.gov/Archives/edgar/data/1448431/000121390020038233/ea130240-8k_optimizerx.htm" TargetMode="External"/><Relationship Id="rId127" Type="http://schemas.openxmlformats.org/officeDocument/2006/relationships/hyperlink" Target="https://www.sec.gov/Archives/edgar/data/1448431/000121390020040647/ea130832-8k_optimizerx.htm" TargetMode="External"/><Relationship Id="rId128" Type="http://schemas.openxmlformats.org/officeDocument/2006/relationships/hyperlink" Target="https://www.sec.gov/Archives/edgar/data/1448431/000121390020041251/ea131150-8k_optimizerx.htm" TargetMode="External"/><Relationship Id="rId129" Type="http://schemas.openxmlformats.org/officeDocument/2006/relationships/hyperlink" Target="https://www.sec.gov/Archives/edgar/data/1448431/000121390020041717/ea131328-8k_optimizerx.htm" TargetMode="External"/><Relationship Id="rId130" Type="http://schemas.openxmlformats.org/officeDocument/2006/relationships/hyperlink" Target="https://www.sec.gov/Archives/edgar/data/1448431/000121390020042186/ea131499-8k_optimizerx.htm" TargetMode="External"/><Relationship Id="rId131" Type="http://schemas.openxmlformats.org/officeDocument/2006/relationships/hyperlink" Target="https://www.sec.gov/Archives/edgar/data/1448431/000121390021000670/ea132830-8k_optimizerx.htm" TargetMode="External"/><Relationship Id="rId132" Type="http://schemas.openxmlformats.org/officeDocument/2006/relationships/hyperlink" Target="https://www.sec.gov/Archives/edgar/data/1448431/000121390021002572/ea133463-8k_optimizerx.htm" TargetMode="External"/><Relationship Id="rId133" Type="http://schemas.openxmlformats.org/officeDocument/2006/relationships/hyperlink" Target="https://www.sec.gov/Archives/edgar/data/1448431/000121390021003675/ea133771-8k_optimizerx.htm" TargetMode="External"/><Relationship Id="rId134" Type="http://schemas.openxmlformats.org/officeDocument/2006/relationships/hyperlink" Target="https://www.sec.gov/Archives/edgar/data/1448431/000121390018007863/f8a12b061918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2021-02-08T16:23:08Z</dcterms:created>
  <dcterms:modified xsi:type="dcterms:W3CDTF">2021-02-08T16:23:08Z</dcterms:modified>
</cp:coreProperties>
</file>