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417195</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6"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340" w:type="dxa"/>
            <w:vAlign w:val="bottom"/>
            <w:gridSpan w:val="5"/>
          </w:tcPr>
          <w:p>
            <w:pPr>
              <w:jc w:val="center"/>
              <w:ind w:right="1540"/>
              <w:spacing w:after="0"/>
              <w:rPr>
                <w:sz w:val="20"/>
                <w:szCs w:val="20"/>
                <w:color w:val="auto"/>
              </w:rPr>
            </w:pPr>
            <w:r>
              <w:rPr>
                <w:rFonts w:ascii="Arial" w:cs="Arial" w:eastAsia="Arial" w:hAnsi="Arial"/>
                <w:sz w:val="18"/>
                <w:szCs w:val="18"/>
                <w:b w:val="1"/>
                <w:bCs w:val="1"/>
                <w:color w:val="auto"/>
              </w:rPr>
              <w:t>FORM 8-K</w:t>
            </w:r>
          </w:p>
        </w:tc>
        <w:tc>
          <w:tcPr>
            <w:tcW w:w="3260" w:type="dxa"/>
            <w:vAlign w:val="bottom"/>
          </w:tcPr>
          <w:p>
            <w:pPr>
              <w:spacing w:after="0"/>
              <w:rPr>
                <w:sz w:val="20"/>
                <w:szCs w:val="20"/>
                <w:color w:val="auto"/>
              </w:rPr>
            </w:pPr>
          </w:p>
        </w:tc>
      </w:tr>
      <w:tr>
        <w:trPr>
          <w:trHeight w:val="522"/>
        </w:trPr>
        <w:tc>
          <w:tcPr>
            <w:tcW w:w="3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340" w:type="dxa"/>
            <w:vAlign w:val="bottom"/>
            <w:gridSpan w:val="5"/>
          </w:tcPr>
          <w:p>
            <w:pPr>
              <w:jc w:val="center"/>
              <w:ind w:right="1540"/>
              <w:spacing w:after="0"/>
              <w:rPr>
                <w:sz w:val="20"/>
                <w:szCs w:val="20"/>
                <w:color w:val="auto"/>
              </w:rPr>
            </w:pPr>
            <w:r>
              <w:rPr>
                <w:rFonts w:ascii="Arial" w:cs="Arial" w:eastAsia="Arial" w:hAnsi="Arial"/>
                <w:sz w:val="18"/>
                <w:szCs w:val="18"/>
                <w:b w:val="1"/>
                <w:bCs w:val="1"/>
                <w:color w:val="auto"/>
                <w:w w:val="99"/>
              </w:rPr>
              <w:t>CURRENT REPORT</w:t>
            </w:r>
          </w:p>
        </w:tc>
        <w:tc>
          <w:tcPr>
            <w:tcW w:w="3260" w:type="dxa"/>
            <w:vAlign w:val="bottom"/>
          </w:tcPr>
          <w:p>
            <w:pPr>
              <w:spacing w:after="0"/>
              <w:rPr>
                <w:sz w:val="24"/>
                <w:szCs w:val="24"/>
                <w:color w:val="auto"/>
              </w:rPr>
            </w:pPr>
          </w:p>
        </w:tc>
      </w:tr>
      <w:tr>
        <w:trPr>
          <w:trHeight w:val="216"/>
        </w:trPr>
        <w:tc>
          <w:tcPr>
            <w:tcW w:w="3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60" w:type="dxa"/>
            <w:vAlign w:val="bottom"/>
            <w:gridSpan w:val="6"/>
          </w:tcPr>
          <w:p>
            <w:pPr>
              <w:jc w:val="center"/>
              <w:ind w:right="640"/>
              <w:spacing w:after="0"/>
              <w:rPr>
                <w:sz w:val="20"/>
                <w:szCs w:val="20"/>
                <w:color w:val="auto"/>
              </w:rPr>
            </w:pPr>
            <w:r>
              <w:rPr>
                <w:rFonts w:ascii="Arial" w:cs="Arial" w:eastAsia="Arial" w:hAnsi="Arial"/>
                <w:sz w:val="18"/>
                <w:szCs w:val="18"/>
                <w:b w:val="1"/>
                <w:bCs w:val="1"/>
                <w:color w:val="auto"/>
                <w:w w:val="97"/>
              </w:rPr>
              <w:t>PURSUANT TO SECTION 13 OR 15(d) OF</w:t>
            </w:r>
          </w:p>
        </w:tc>
        <w:tc>
          <w:tcPr>
            <w:tcW w:w="3260" w:type="dxa"/>
            <w:vAlign w:val="bottom"/>
          </w:tcPr>
          <w:p>
            <w:pPr>
              <w:spacing w:after="0"/>
              <w:rPr>
                <w:sz w:val="18"/>
                <w:szCs w:val="18"/>
                <w:color w:val="auto"/>
              </w:rPr>
            </w:pPr>
          </w:p>
        </w:tc>
      </w:tr>
      <w:tr>
        <w:trPr>
          <w:trHeight w:val="234"/>
        </w:trPr>
        <w:tc>
          <w:tcPr>
            <w:tcW w:w="3780" w:type="dxa"/>
            <w:vAlign w:val="bottom"/>
          </w:tcPr>
          <w:p>
            <w:pPr>
              <w:spacing w:after="0"/>
              <w:rPr>
                <w:sz w:val="20"/>
                <w:szCs w:val="20"/>
                <w:color w:val="auto"/>
              </w:rPr>
            </w:pPr>
          </w:p>
        </w:tc>
        <w:tc>
          <w:tcPr>
            <w:tcW w:w="4380" w:type="dxa"/>
            <w:vAlign w:val="bottom"/>
            <w:gridSpan w:val="7"/>
          </w:tcPr>
          <w:p>
            <w:pPr>
              <w:jc w:val="center"/>
              <w:ind w:right="500"/>
              <w:spacing w:after="0"/>
              <w:rPr>
                <w:sz w:val="20"/>
                <w:szCs w:val="20"/>
                <w:color w:val="auto"/>
              </w:rPr>
            </w:pPr>
            <w:r>
              <w:rPr>
                <w:rFonts w:ascii="Arial" w:cs="Arial" w:eastAsia="Arial" w:hAnsi="Arial"/>
                <w:sz w:val="18"/>
                <w:szCs w:val="18"/>
                <w:b w:val="1"/>
                <w:bCs w:val="1"/>
                <w:color w:val="auto"/>
                <w:w w:val="99"/>
              </w:rPr>
              <w:t>THE SECURITIES EXCHANGE ACT OF 1934</w:t>
            </w:r>
          </w:p>
        </w:tc>
        <w:tc>
          <w:tcPr>
            <w:tcW w:w="3260" w:type="dxa"/>
            <w:vAlign w:val="bottom"/>
          </w:tcPr>
          <w:p>
            <w:pPr>
              <w:spacing w:after="0"/>
              <w:rPr>
                <w:sz w:val="20"/>
                <w:szCs w:val="20"/>
                <w:color w:val="auto"/>
              </w:rPr>
            </w:pPr>
          </w:p>
        </w:tc>
      </w:tr>
      <w:tr>
        <w:trPr>
          <w:trHeight w:val="432"/>
        </w:trPr>
        <w:tc>
          <w:tcPr>
            <w:tcW w:w="8160" w:type="dxa"/>
            <w:vAlign w:val="bottom"/>
            <w:gridSpan w:val="8"/>
          </w:tcPr>
          <w:p>
            <w:pPr>
              <w:jc w:val="center"/>
              <w:ind w:left="3170"/>
              <w:spacing w:after="0"/>
              <w:rPr>
                <w:sz w:val="20"/>
                <w:szCs w:val="20"/>
                <w:color w:val="auto"/>
              </w:rPr>
            </w:pPr>
            <w:r>
              <w:rPr>
                <w:rFonts w:ascii="Arial" w:cs="Arial" w:eastAsia="Arial" w:hAnsi="Arial"/>
                <w:sz w:val="18"/>
                <w:szCs w:val="18"/>
                <w:color w:val="auto"/>
                <w:w w:val="90"/>
              </w:rPr>
              <w:t>Date of Report (Date of earliest event reported): August 30, 2017</w:t>
            </w:r>
          </w:p>
        </w:tc>
        <w:tc>
          <w:tcPr>
            <w:tcW w:w="3260" w:type="dxa"/>
            <w:vAlign w:val="bottom"/>
          </w:tcPr>
          <w:p>
            <w:pPr>
              <w:spacing w:after="0"/>
              <w:rPr>
                <w:sz w:val="24"/>
                <w:szCs w:val="24"/>
                <w:color w:val="auto"/>
              </w:rPr>
            </w:pPr>
          </w:p>
        </w:tc>
      </w:tr>
      <w:tr>
        <w:trPr>
          <w:trHeight w:val="392"/>
        </w:trPr>
        <w:tc>
          <w:tcPr>
            <w:tcW w:w="3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OptimizeRx Corporation</w:t>
            </w:r>
          </w:p>
        </w:tc>
        <w:tc>
          <w:tcPr>
            <w:tcW w:w="1540" w:type="dxa"/>
            <w:vAlign w:val="bottom"/>
            <w:gridSpan w:val="4"/>
          </w:tcPr>
          <w:p>
            <w:pPr>
              <w:spacing w:after="0"/>
              <w:rPr>
                <w:sz w:val="24"/>
                <w:szCs w:val="24"/>
                <w:color w:val="auto"/>
              </w:rPr>
            </w:pPr>
          </w:p>
        </w:tc>
        <w:tc>
          <w:tcPr>
            <w:tcW w:w="3260" w:type="dxa"/>
            <w:vAlign w:val="bottom"/>
          </w:tcPr>
          <w:p>
            <w:pPr>
              <w:spacing w:after="0"/>
              <w:rPr>
                <w:sz w:val="24"/>
                <w:szCs w:val="24"/>
                <w:color w:val="auto"/>
              </w:rPr>
            </w:pPr>
          </w:p>
        </w:tc>
      </w:tr>
      <w:tr>
        <w:trPr>
          <w:trHeight w:val="237"/>
        </w:trPr>
        <w:tc>
          <w:tcPr>
            <w:tcW w:w="3780" w:type="dxa"/>
            <w:vAlign w:val="bottom"/>
          </w:tcPr>
          <w:p>
            <w:pPr>
              <w:spacing w:after="0"/>
              <w:rPr>
                <w:sz w:val="20"/>
                <w:szCs w:val="20"/>
                <w:color w:val="auto"/>
              </w:rPr>
            </w:pPr>
          </w:p>
        </w:tc>
        <w:tc>
          <w:tcPr>
            <w:tcW w:w="4380" w:type="dxa"/>
            <w:vAlign w:val="bottom"/>
            <w:gridSpan w:val="7"/>
          </w:tcPr>
          <w:p>
            <w:pPr>
              <w:jc w:val="center"/>
              <w:ind w:right="500"/>
              <w:spacing w:after="0"/>
              <w:rPr>
                <w:sz w:val="20"/>
                <w:szCs w:val="20"/>
                <w:color w:val="auto"/>
              </w:rPr>
            </w:pPr>
            <w:r>
              <w:rPr>
                <w:rFonts w:ascii="Arial" w:cs="Arial" w:eastAsia="Arial" w:hAnsi="Arial"/>
                <w:sz w:val="18"/>
                <w:szCs w:val="18"/>
                <w:color w:val="auto"/>
                <w:w w:val="90"/>
              </w:rPr>
              <w:t>(Exact name of registrant as specified in its charter)</w:t>
            </w:r>
          </w:p>
        </w:tc>
        <w:tc>
          <w:tcPr>
            <w:tcW w:w="3260" w:type="dxa"/>
            <w:vAlign w:val="bottom"/>
          </w:tcPr>
          <w:p>
            <w:pPr>
              <w:spacing w:after="0"/>
              <w:rPr>
                <w:sz w:val="20"/>
                <w:szCs w:val="20"/>
                <w:color w:val="auto"/>
              </w:rPr>
            </w:pPr>
          </w:p>
        </w:tc>
      </w:tr>
      <w:tr>
        <w:trPr>
          <w:trHeight w:val="439"/>
        </w:trPr>
        <w:tc>
          <w:tcPr>
            <w:tcW w:w="3780" w:type="dxa"/>
            <w:vAlign w:val="bottom"/>
          </w:tcPr>
          <w:p>
            <w:pPr>
              <w:jc w:val="center"/>
              <w:spacing w:after="0"/>
              <w:rPr>
                <w:sz w:val="20"/>
                <w:szCs w:val="20"/>
                <w:color w:val="auto"/>
              </w:rPr>
            </w:pPr>
            <w:r>
              <w:rPr>
                <w:rFonts w:ascii="Arial" w:cs="Arial" w:eastAsia="Arial" w:hAnsi="Arial"/>
                <w:sz w:val="18"/>
                <w:szCs w:val="18"/>
                <w:color w:val="auto"/>
                <w:w w:val="86"/>
              </w:rPr>
              <w:t>Nevada</w:t>
            </w:r>
          </w:p>
        </w:tc>
        <w:tc>
          <w:tcPr>
            <w:tcW w:w="2840" w:type="dxa"/>
            <w:vAlign w:val="bottom"/>
            <w:gridSpan w:val="3"/>
          </w:tcPr>
          <w:p>
            <w:pPr>
              <w:jc w:val="center"/>
              <w:ind w:left="970"/>
              <w:spacing w:after="0"/>
              <w:rPr>
                <w:sz w:val="20"/>
                <w:szCs w:val="20"/>
                <w:color w:val="auto"/>
              </w:rPr>
            </w:pPr>
            <w:r>
              <w:rPr>
                <w:rFonts w:ascii="Arial" w:cs="Arial" w:eastAsia="Arial" w:hAnsi="Arial"/>
                <w:sz w:val="18"/>
                <w:szCs w:val="18"/>
                <w:color w:val="auto"/>
                <w:w w:val="90"/>
              </w:rPr>
              <w:t>000-53605</w:t>
            </w: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60" w:type="dxa"/>
            <w:vAlign w:val="bottom"/>
          </w:tcPr>
          <w:p>
            <w:pPr>
              <w:jc w:val="right"/>
              <w:ind w:right="1350"/>
              <w:spacing w:after="0"/>
              <w:rPr>
                <w:sz w:val="20"/>
                <w:szCs w:val="20"/>
                <w:color w:val="auto"/>
              </w:rPr>
            </w:pPr>
            <w:r>
              <w:rPr>
                <w:rFonts w:ascii="Arial" w:cs="Arial" w:eastAsia="Arial" w:hAnsi="Arial"/>
                <w:sz w:val="18"/>
                <w:szCs w:val="18"/>
                <w:color w:val="auto"/>
              </w:rPr>
              <w:t>26-1265381</w:t>
            </w:r>
          </w:p>
        </w:tc>
      </w:tr>
      <w:tr>
        <w:trPr>
          <w:trHeight w:val="230"/>
        </w:trPr>
        <w:tc>
          <w:tcPr>
            <w:tcW w:w="37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 of incorporation)</w:t>
            </w:r>
          </w:p>
        </w:tc>
        <w:tc>
          <w:tcPr>
            <w:tcW w:w="120" w:type="dxa"/>
            <w:vAlign w:val="bottom"/>
          </w:tcPr>
          <w:p>
            <w:pPr>
              <w:spacing w:after="0"/>
              <w:rPr>
                <w:sz w:val="20"/>
                <w:szCs w:val="20"/>
                <w:color w:val="auto"/>
              </w:rPr>
            </w:pPr>
          </w:p>
        </w:tc>
        <w:tc>
          <w:tcPr>
            <w:tcW w:w="3660" w:type="dxa"/>
            <w:vAlign w:val="bottom"/>
            <w:tcBorders>
              <w:top w:val="single" w:sz="8" w:color="auto"/>
            </w:tcBorders>
            <w:gridSpan w:val="4"/>
          </w:tcPr>
          <w:p>
            <w:pPr>
              <w:jc w:val="center"/>
              <w:spacing w:after="0"/>
              <w:rPr>
                <w:sz w:val="20"/>
                <w:szCs w:val="20"/>
                <w:color w:val="auto"/>
              </w:rPr>
            </w:pPr>
            <w:r>
              <w:rPr>
                <w:rFonts w:ascii="Arial" w:cs="Arial" w:eastAsia="Arial" w:hAnsi="Arial"/>
                <w:sz w:val="18"/>
                <w:szCs w:val="18"/>
                <w:color w:val="auto"/>
                <w:w w:val="92"/>
              </w:rPr>
              <w:t>(Commission File Number)</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3260" w:type="dxa"/>
            <w:vAlign w:val="bottom"/>
            <w:tcBorders>
              <w:top w:val="single" w:sz="8" w:color="auto"/>
            </w:tcBorders>
          </w:tcPr>
          <w:p>
            <w:pPr>
              <w:jc w:val="center"/>
              <w:ind w:right="410"/>
              <w:spacing w:after="0"/>
              <w:rPr>
                <w:sz w:val="20"/>
                <w:szCs w:val="20"/>
                <w:color w:val="auto"/>
              </w:rPr>
            </w:pPr>
            <w:r>
              <w:rPr>
                <w:rFonts w:ascii="Arial" w:cs="Arial" w:eastAsia="Arial" w:hAnsi="Arial"/>
                <w:sz w:val="18"/>
                <w:szCs w:val="18"/>
                <w:color w:val="auto"/>
                <w:w w:val="93"/>
              </w:rPr>
              <w:t>(I.R.S. Employer Identification No.)</w:t>
            </w:r>
          </w:p>
        </w:tc>
      </w:tr>
      <w:tr>
        <w:trPr>
          <w:trHeight w:val="425"/>
        </w:trPr>
        <w:tc>
          <w:tcPr>
            <w:tcW w:w="8160" w:type="dxa"/>
            <w:vAlign w:val="bottom"/>
            <w:gridSpan w:val="8"/>
          </w:tcPr>
          <w:p>
            <w:pPr>
              <w:jc w:val="center"/>
              <w:ind w:right="620"/>
              <w:spacing w:after="0"/>
              <w:rPr>
                <w:sz w:val="20"/>
                <w:szCs w:val="20"/>
                <w:color w:val="auto"/>
              </w:rPr>
            </w:pPr>
            <w:r>
              <w:rPr>
                <w:rFonts w:ascii="Arial" w:cs="Arial" w:eastAsia="Arial" w:hAnsi="Arial"/>
                <w:sz w:val="18"/>
                <w:szCs w:val="18"/>
                <w:color w:val="auto"/>
                <w:w w:val="90"/>
              </w:rPr>
              <w:t>400 Water Street, Suite 200, Rochester, MI</w:t>
            </w:r>
          </w:p>
        </w:tc>
        <w:tc>
          <w:tcPr>
            <w:tcW w:w="3260" w:type="dxa"/>
            <w:vAlign w:val="bottom"/>
          </w:tcPr>
          <w:p>
            <w:pPr>
              <w:jc w:val="right"/>
              <w:ind w:right="1570"/>
              <w:spacing w:after="0"/>
              <w:rPr>
                <w:sz w:val="20"/>
                <w:szCs w:val="20"/>
                <w:color w:val="auto"/>
              </w:rPr>
            </w:pPr>
            <w:r>
              <w:rPr>
                <w:rFonts w:ascii="Arial" w:cs="Arial" w:eastAsia="Arial" w:hAnsi="Arial"/>
                <w:sz w:val="18"/>
                <w:szCs w:val="18"/>
                <w:color w:val="auto"/>
              </w:rPr>
              <w:t>48307</w:t>
            </w:r>
          </w:p>
        </w:tc>
      </w:tr>
      <w:tr>
        <w:trPr>
          <w:trHeight w:val="230"/>
        </w:trPr>
        <w:tc>
          <w:tcPr>
            <w:tcW w:w="7540" w:type="dxa"/>
            <w:vAlign w:val="bottom"/>
            <w:tcBorders>
              <w:top w:val="single" w:sz="8" w:color="auto"/>
            </w:tcBorders>
            <w:gridSpan w:val="5"/>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120" w:type="dxa"/>
            <w:vAlign w:val="bottom"/>
            <w:gridSpan w:val="2"/>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3260" w:type="dxa"/>
            <w:vAlign w:val="bottom"/>
            <w:tcBorders>
              <w:top w:val="single" w:sz="8" w:color="auto"/>
            </w:tcBorders>
          </w:tcPr>
          <w:p>
            <w:pPr>
              <w:jc w:val="center"/>
              <w:ind w:right="410"/>
              <w:spacing w:after="0"/>
              <w:rPr>
                <w:sz w:val="20"/>
                <w:szCs w:val="20"/>
                <w:color w:val="auto"/>
              </w:rPr>
            </w:pPr>
            <w:r>
              <w:rPr>
                <w:rFonts w:ascii="Arial" w:cs="Arial" w:eastAsia="Arial" w:hAnsi="Arial"/>
                <w:sz w:val="18"/>
                <w:szCs w:val="18"/>
                <w:color w:val="auto"/>
                <w:w w:val="94"/>
              </w:rPr>
              <w:t>(Zip Code)</w:t>
            </w:r>
          </w:p>
        </w:tc>
      </w:tr>
    </w:tbl>
    <w:p>
      <w:pPr>
        <w:spacing w:after="0" w:line="18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00" w:lineRule="exact"/>
        <w:rPr>
          <w:sz w:val="24"/>
          <w:szCs w:val="24"/>
          <w:color w:val="auto"/>
        </w:rPr>
      </w:pPr>
    </w:p>
    <w:p>
      <w:pPr>
        <w:spacing w:after="0" w:line="241" w:lineRule="exact"/>
        <w:rPr>
          <w:sz w:val="24"/>
          <w:szCs w:val="24"/>
          <w:color w:val="auto"/>
        </w:rPr>
      </w:pPr>
    </w:p>
    <w:p>
      <w:pPr>
        <w:ind w:left="3420"/>
        <w:spacing w:after="0"/>
        <w:rPr>
          <w:sz w:val="20"/>
          <w:szCs w:val="20"/>
          <w:color w:val="auto"/>
        </w:rPr>
      </w:pPr>
      <w:r>
        <w:rPr>
          <w:rFonts w:ascii="Arial" w:cs="Arial" w:eastAsia="Arial" w:hAnsi="Arial"/>
          <w:sz w:val="18"/>
          <w:szCs w:val="18"/>
          <w:color w:val="auto"/>
        </w:rPr>
        <w:t>___________________________________________________</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560" w:hanging="455"/>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(17CFR 230.425)</w:t>
      </w:r>
    </w:p>
    <w:p>
      <w:pPr>
        <w:spacing w:after="0" w:line="225" w:lineRule="exact"/>
        <w:rPr>
          <w:rFonts w:ascii="MS PGothic" w:cs="MS PGothic" w:eastAsia="MS PGothic" w:hAnsi="MS PGothic"/>
          <w:sz w:val="18"/>
          <w:szCs w:val="18"/>
          <w:color w:val="auto"/>
        </w:rPr>
      </w:pPr>
    </w:p>
    <w:p>
      <w:pPr>
        <w:ind w:left="560" w:hanging="455"/>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560" w:hanging="455"/>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560" w:hanging="455"/>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47625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502285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69"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4- MATTERS RELATED TO ACCOUNTANTS AND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4.01 Changes in Registrant’s Certifying Accountant.</w:t>
      </w:r>
    </w:p>
    <w:p>
      <w:pPr>
        <w:spacing w:after="0" w:line="229"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KLJ &amp; Associates LLP (the “Former Accountant”) has chosen to exit its SEC auditing practice. As a result, on August 30, 2017, the Board of Directors of OptimizeRx Corp. (the “Company”) accepted the resignation of the Former Accountant as the Company’s independent registered public accounting firm and simultaneously approved the engagement of Sadler, Gibb &amp; Associates, LLC (the “New Accountant”) as the Company’s new independent registered public accounting firm to audit the Company’s financial statements for the fiscal year ending December 31, 2017.</w:t>
      </w:r>
    </w:p>
    <w:p>
      <w:pPr>
        <w:spacing w:after="0" w:line="17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Former Accountant’s audit report on the financial statements of the Company for the years ended December 31, 2016 and 2015 contained no adverse opinion or disclaimer of opinion, nor was it qualified or modified as to uncertainty, audit scope or accounting principles, except that the audit report on the financial statements of the Company for the years ended December 31, 2016 and 2015 contained an uncertainty about the Company’s ability to continue as a going concern.</w:t>
      </w:r>
    </w:p>
    <w:p>
      <w:pPr>
        <w:spacing w:after="0" w:line="187" w:lineRule="exact"/>
        <w:rPr>
          <w:sz w:val="20"/>
          <w:szCs w:val="20"/>
          <w:color w:val="auto"/>
        </w:rPr>
      </w:pPr>
    </w:p>
    <w:p>
      <w:pPr>
        <w:jc w:val="both"/>
        <w:ind w:right="280"/>
        <w:spacing w:after="0" w:line="259" w:lineRule="auto"/>
        <w:rPr>
          <w:sz w:val="20"/>
          <w:szCs w:val="20"/>
          <w:color w:val="auto"/>
        </w:rPr>
      </w:pPr>
      <w:r>
        <w:rPr>
          <w:rFonts w:ascii="Arial" w:cs="Arial" w:eastAsia="Arial" w:hAnsi="Arial"/>
          <w:sz w:val="18"/>
          <w:szCs w:val="18"/>
          <w:color w:val="auto"/>
        </w:rPr>
        <w:t>For the years ended December 31, 2016 and 2015, and through the interim period ended August 30, 2017, there were no “disagreements” (as such term is defined in Item 304 of Regulation S-K) with the Former Accountant on any matter of accounting principles or practices, financial statement disclosure, or auditing scope or procedures, which disagreements if not resolved to the satisfaction of the Former Accountant would have caused them to make reference thereto in their reports on the financial statements for such periods.</w:t>
      </w:r>
    </w:p>
    <w:p>
      <w:pPr>
        <w:spacing w:after="0" w:line="18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For the years ended December 31, 2016 and 2015, and through the interim period ended August 30, 2017, there were no “reportable events” (as such term is defined in Item 304 of Regulation S-K).</w:t>
      </w:r>
    </w:p>
    <w:p>
      <w:pPr>
        <w:spacing w:after="0" w:line="170"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Prior to retaining the New Accountant, the Company did not consult with the New Accountant regarding either: (i) the application of accounting principles to a specified transaction, either contemplated or proposed, or the type of audit opinion that might be rendered on the Company’s financial statements; or (ii) any matter that was the subject of a “disagreement” or a “reportable event” (as those terms are defined in Item 304 of Regulation S-K).</w:t>
      </w:r>
    </w:p>
    <w:p>
      <w:pPr>
        <w:spacing w:after="0" w:line="14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On August 30, 2017, the Company provided the Former Accountant with its disclosures in the Current Report on Form 8-K disclosing the dismissal of the Former Accountant and requested in writing that the Former Accountant furnish the Company with a letter addressed to the Securities and Exchange Commission stating whether or not they agree with such disclosures. The Former Accountant’s response is filed as an exhibit to this Current Report on Form 8-K.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500" w:type="dxa"/>
            <w:vAlign w:val="bottom"/>
            <w:gridSpan w:val="2"/>
          </w:tcPr>
          <w:p>
            <w:pPr>
              <w:ind w:left="100"/>
              <w:spacing w:after="0"/>
              <w:rPr>
                <w:sz w:val="20"/>
                <w:szCs w:val="20"/>
                <w:color w:val="auto"/>
              </w:rPr>
            </w:pPr>
            <w:r>
              <w:rPr>
                <w:rFonts w:ascii="Arial" w:cs="Arial" w:eastAsia="Arial" w:hAnsi="Arial"/>
                <w:sz w:val="18"/>
                <w:szCs w:val="18"/>
                <w:b w:val="1"/>
                <w:bCs w:val="1"/>
                <w:color w:val="auto"/>
              </w:rPr>
              <w:t>Exhibit No.</w:t>
            </w:r>
          </w:p>
        </w:tc>
        <w:tc>
          <w:tcPr>
            <w:tcW w:w="9920" w:type="dxa"/>
            <w:vAlign w:val="bottom"/>
            <w:gridSpan w:val="3"/>
          </w:tcPr>
          <w:p>
            <w:pPr>
              <w:ind w:left="100"/>
              <w:spacing w:after="0"/>
              <w:rPr>
                <w:sz w:val="20"/>
                <w:szCs w:val="20"/>
                <w:color w:val="auto"/>
              </w:rPr>
            </w:pPr>
            <w:r>
              <w:rPr>
                <w:rFonts w:ascii="Arial" w:cs="Arial" w:eastAsia="Arial" w:hAnsi="Arial"/>
                <w:sz w:val="18"/>
                <w:szCs w:val="18"/>
                <w:b w:val="1"/>
                <w:bCs w:val="1"/>
                <w:color w:val="auto"/>
              </w:rPr>
              <w:t>Description</w:t>
            </w:r>
          </w:p>
        </w:tc>
      </w:tr>
      <w:tr>
        <w:trPr>
          <w:trHeight w:val="196"/>
        </w:trPr>
        <w:tc>
          <w:tcPr>
            <w:tcW w:w="1380" w:type="dxa"/>
            <w:vAlign w:val="bottom"/>
            <w:tcBorders>
              <w:top w:val="single" w:sz="8" w:color="auto"/>
            </w:tcBorders>
            <w:shd w:val="clear" w:color="auto" w:fill="CCEEFF"/>
          </w:tcPr>
          <w:p>
            <w:pPr>
              <w:ind w:left="100"/>
              <w:spacing w:after="0" w:line="176" w:lineRule="exact"/>
              <w:rPr>
                <w:sz w:val="20"/>
                <w:szCs w:val="20"/>
                <w:color w:val="auto"/>
              </w:rPr>
            </w:pPr>
            <w:r>
              <w:rPr>
                <w:rFonts w:ascii="Arial" w:cs="Arial" w:eastAsia="Arial" w:hAnsi="Arial"/>
                <w:sz w:val="18"/>
                <w:szCs w:val="18"/>
                <w:color w:val="auto"/>
              </w:rPr>
              <w:t>16.1</w:t>
            </w:r>
          </w:p>
        </w:tc>
        <w:tc>
          <w:tcPr>
            <w:tcW w:w="120" w:type="dxa"/>
            <w:vAlign w:val="bottom"/>
            <w:tcBorders>
              <w:top w:val="single" w:sz="8" w:color="CCEEFF"/>
            </w:tcBorders>
            <w:shd w:val="clear" w:color="auto" w:fill="CCEEFF"/>
          </w:tcPr>
          <w:p>
            <w:pPr>
              <w:spacing w:after="0"/>
              <w:rPr>
                <w:sz w:val="17"/>
                <w:szCs w:val="17"/>
                <w:color w:val="auto"/>
              </w:rPr>
            </w:pPr>
          </w:p>
        </w:tc>
        <w:tc>
          <w:tcPr>
            <w:tcW w:w="9920" w:type="dxa"/>
            <w:vAlign w:val="bottom"/>
            <w:tcBorders>
              <w:top w:val="single" w:sz="8" w:color="auto"/>
            </w:tcBorders>
            <w:gridSpan w:val="3"/>
            <w:shd w:val="clear" w:color="auto" w:fill="CCEEFF"/>
          </w:tcPr>
          <w:p>
            <w:pPr>
              <w:ind w:left="100"/>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Letter from KLJ &amp; Associates LLP to the Securities and Exchange Commission</w:t>
              </w:r>
            </w:hyperlink>
          </w:p>
        </w:tc>
      </w:tr>
      <w:tr>
        <w:trPr>
          <w:trHeight w:val="655"/>
        </w:trPr>
        <w:tc>
          <w:tcPr>
            <w:tcW w:w="138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5760" w:type="dxa"/>
            <w:vAlign w:val="bottom"/>
            <w:tcBorders>
              <w:top w:val="single" w:sz="8" w:color="0000EE"/>
              <w:bottom w:val="single" w:sz="8" w:color="auto"/>
            </w:tcBorders>
          </w:tcPr>
          <w:p>
            <w:pPr>
              <w:jc w:val="right"/>
              <w:ind w:right="1510"/>
              <w:spacing w:after="0"/>
              <w:rPr>
                <w:sz w:val="20"/>
                <w:szCs w:val="20"/>
                <w:color w:val="auto"/>
              </w:rPr>
            </w:pPr>
            <w:r>
              <w:rPr>
                <w:rFonts w:ascii="Arial" w:cs="Arial" w:eastAsia="Arial" w:hAnsi="Arial"/>
                <w:sz w:val="18"/>
                <w:szCs w:val="18"/>
                <w:color w:val="auto"/>
              </w:rPr>
              <w:t>2</w:t>
            </w:r>
          </w:p>
        </w:tc>
        <w:tc>
          <w:tcPr>
            <w:tcW w:w="406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420"/>
          </w:cols>
          <w:pgMar w:left="240" w:top="1094"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Doug Baker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Doug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1780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1, 2017</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094"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2778760" cy="6858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778760"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August 31, 2017</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450 Fifth Street N.W.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38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have read the statements of OptimizeRx Corporation, pertaining to our firm included under Item 4.01 of Form 8-K dated August 30, 2017 and agree with such statements as they pertain to our firm.</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 KLJ &amp; Associates, LLP</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2019-12-29T04:48:55Z</dcterms:created>
  <dcterms:modified xsi:type="dcterms:W3CDTF">2019-12-29T04:48:55Z</dcterms:modified>
</cp:coreProperties>
</file>