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80" w:right="2340" w:hanging="1731"/>
        <w:spacing w:after="0" w:line="482" w:lineRule="auto"/>
        <w:tabs>
          <w:tab w:leader="none" w:pos="269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2016</w:t>
      </w:r>
    </w:p>
    <w:p>
      <w:pPr>
        <w:spacing w:after="0" w:line="33" w:lineRule="exact"/>
        <w:rPr>
          <w:sz w:val="24"/>
          <w:szCs w:val="24"/>
          <w:color w:val="auto"/>
        </w:rPr>
      </w:pPr>
    </w:p>
    <w:p>
      <w:pPr>
        <w:ind w:left="3580" w:right="2620" w:hanging="959"/>
        <w:spacing w:after="0" w:line="528" w:lineRule="auto"/>
        <w:tabs>
          <w:tab w:leader="none" w:pos="2955"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64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80" w:type="dxa"/>
            <w:vAlign w:val="bottom"/>
          </w:tcPr>
          <w:p>
            <w:pPr>
              <w:ind w:left="250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ind w:left="172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7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137160</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3" w:right="239" w:bottom="1440" w:gutter="0" w:footer="0" w:header="0"/>
        </w:sectPr>
      </w:pPr>
    </w:p>
    <w:p>
      <w:pPr>
        <w:spacing w:after="0" w:line="237" w:lineRule="exact"/>
        <w:rPr>
          <w:sz w:val="24"/>
          <w:szCs w:val="24"/>
          <w:color w:val="auto"/>
        </w:rPr>
      </w:pPr>
    </w:p>
    <w:p>
      <w:pPr>
        <w:ind w:right="5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4"/>
          <w:szCs w:val="24"/>
          <w:color w:val="auto"/>
        </w:rPr>
      </w:pPr>
    </w:p>
    <w:p>
      <w:pPr>
        <w:sectPr>
          <w:pgSz w:w="11900" w:h="16838" w:orient="portrait"/>
          <w:cols w:equalWidth="0" w:num="4">
            <w:col w:w="2160" w:space="720"/>
            <w:col w:w="980" w:space="720"/>
            <w:col w:w="2140" w:space="720"/>
            <w:col w:w="3980"/>
          </w:cols>
          <w:pgMar w:left="240" w:top="513" w:right="239" w:bottom="1440" w:gutter="0" w:footer="0" w:header="0"/>
          <w:type w:val="continuous"/>
        </w:sect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29,659,632 common shares as of August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84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02"/>
        </w:trPr>
        <w:tc>
          <w:tcPr>
            <w:tcW w:w="780" w:type="dxa"/>
            <w:vAlign w:val="bottom"/>
          </w:tcPr>
          <w:p>
            <w:pPr>
              <w:spacing w:after="0"/>
              <w:rPr>
                <w:sz w:val="17"/>
                <w:szCs w:val="17"/>
                <w:color w:val="auto"/>
              </w:rPr>
            </w:pPr>
          </w:p>
        </w:tc>
        <w:tc>
          <w:tcPr>
            <w:tcW w:w="9840" w:type="dxa"/>
            <w:vAlign w:val="bottom"/>
          </w:tcPr>
          <w:p>
            <w:pPr>
              <w:ind w:left="2920"/>
              <w:spacing w:after="0" w:line="201" w:lineRule="exact"/>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7"/>
                <w:szCs w:val="17"/>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32"/>
        </w:trPr>
        <w:tc>
          <w:tcPr>
            <w:tcW w:w="780" w:type="dxa"/>
            <w:vAlign w:val="bottom"/>
          </w:tcPr>
          <w:p>
            <w:pPr>
              <w:spacing w:after="0"/>
              <w:rPr>
                <w:sz w:val="24"/>
                <w:szCs w:val="24"/>
                <w:color w:val="auto"/>
              </w:rPr>
            </w:pPr>
          </w:p>
        </w:tc>
        <w:tc>
          <w:tcPr>
            <w:tcW w:w="9840" w:type="dxa"/>
            <w:vAlign w:val="bottom"/>
          </w:tcPr>
          <w:p>
            <w:pPr>
              <w:ind w:left="306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736"/>
        </w:trPr>
        <w:tc>
          <w:tcPr>
            <w:tcW w:w="7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6"/>
          <w:szCs w:val="16"/>
          <w:color w:val="auto"/>
        </w:rPr>
        <w:t>Condensed Consolidated Balance Sheets as of June 30, 2016 and December 31, 2015 (unaudited);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Condensed Consolidated Statements of Operations for the three and six months ended June 30, 2016 and 2015 (unaudited)</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Condensed Consolidated Statements of Cash Flow for the six months ended June 30, 2016 and 2015 (unaudited)</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condensed consolidated financial statements.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2016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June 30,</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4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7,566,783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8,207,565</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2,108,884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127,272</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9,802,939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806,272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355,618</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1,166,939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10,996,243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shd w:val="clear" w:color="auto" w:fill="CCEEFF"/>
          </w:tcPr>
          <w:p>
            <w:pPr>
              <w:spacing w:after="0"/>
              <w:rPr>
                <w:sz w:val="21"/>
                <w:szCs w:val="21"/>
                <w:color w:val="auto"/>
              </w:rPr>
            </w:pPr>
          </w:p>
        </w:tc>
      </w:tr>
      <w:tr>
        <w:trPr>
          <w:trHeight w:val="21"/>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194,726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212,191</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167,999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1,811,033</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2,355,608</w:t>
            </w:r>
          </w:p>
        </w:tc>
        <w:tc>
          <w:tcPr>
            <w:tcW w:w="80" w:type="dxa"/>
            <w:vAlign w:val="bottom"/>
          </w:tcPr>
          <w:p>
            <w:pPr>
              <w:spacing w:after="0"/>
              <w:rPr>
                <w:sz w:val="18"/>
                <w:szCs w:val="18"/>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227,002</w:t>
            </w:r>
          </w:p>
        </w:tc>
        <w:tc>
          <w:tcPr>
            <w:tcW w:w="80" w:type="dxa"/>
            <w:vAlign w:val="bottom"/>
            <w:shd w:val="clear" w:color="auto" w:fill="CCEEFF"/>
          </w:tcPr>
          <w:p>
            <w:pPr>
              <w:spacing w:after="0"/>
              <w:rPr>
                <w:sz w:val="21"/>
                <w:szCs w:val="21"/>
                <w:color w:val="auto"/>
              </w:rPr>
            </w:pPr>
          </w:p>
        </w:tc>
      </w:tr>
      <w:tr>
        <w:trPr>
          <w:trHeight w:val="210"/>
        </w:trPr>
        <w:tc>
          <w:tcPr>
            <w:tcW w:w="8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2,841,007</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4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$.001 par value, 500,000,000 shares authorized, 29,262,944 and 29,030,925 shares issued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29,263</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2,329,508</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32,911,750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32,185,499</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583,545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1,132,148</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(27,663,738)</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(26,719,890)</w:t>
            </w: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8,155,236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10,996,243</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tcPr>
          <w:p>
            <w:pPr>
              <w:spacing w:after="0"/>
              <w:rPr>
                <w:sz w:val="20"/>
                <w:szCs w:val="20"/>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-5127625</wp:posOffset>
            </wp:positionV>
            <wp:extent cx="7246620" cy="510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For the Three Months Ended</w:t>
            </w:r>
          </w:p>
        </w:tc>
        <w:tc>
          <w:tcPr>
            <w:tcW w:w="200" w:type="dxa"/>
            <w:vAlign w:val="bottom"/>
          </w:tcPr>
          <w:p>
            <w:pPr>
              <w:spacing w:after="0"/>
              <w:rPr>
                <w:sz w:val="19"/>
                <w:szCs w:val="19"/>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1,913,299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1,705,457</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3,672,828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3,193,010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922,832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882,327</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1,815,625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990,467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823,130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1,857,203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1,592,982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980,659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2,821,546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(602,515)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(157,529)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(964,343)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(591,933)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(943,848)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(591,933</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(157,225</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(943,848</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(268,426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29,141,340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22,924,819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29,086,134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22,917,678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-4424680</wp:posOffset>
            </wp:positionV>
            <wp:extent cx="7246620" cy="439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992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 AND 2015</w:t>
      </w: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91175" cy="4836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4836795"/>
                    </a:xfrm>
                    <a:prstGeom prst="rect">
                      <a:avLst/>
                    </a:prstGeom>
                    <a:noFill/>
                  </pic:spPr>
                </pic:pic>
              </a:graphicData>
            </a:graphic>
          </wp:anchor>
        </w:drawing>
      </w:r>
    </w:p>
    <w:p>
      <w:pPr>
        <w:spacing w:after="0" w:line="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(943,848)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738,566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161,016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440,247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(177,377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246,172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Patent rights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Website site development costs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(105,990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(47,267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payable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(357,415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vMerge w:val="continue"/>
            <w:shd w:val="clear" w:color="auto" w:fill="CCEEFF"/>
          </w:tcPr>
          <w:p>
            <w:pPr>
              <w:spacing w:after="0"/>
              <w:rPr>
                <w:sz w:val="21"/>
                <w:szCs w:val="21"/>
                <w:color w:val="auto"/>
              </w:rPr>
            </w:pP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7,566,783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3,645,878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-4415790</wp:posOffset>
            </wp:positionV>
            <wp:extent cx="1655445" cy="4391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5445" cy="4391025"/>
                    </a:xfrm>
                    <a:prstGeom prst="rect">
                      <a:avLst/>
                    </a:prstGeom>
                    <a:noFill/>
                  </pic:spPr>
                </pic:pic>
              </a:graphicData>
            </a:graphic>
          </wp:anchor>
        </w:drawing>
      </w:r>
    </w:p>
    <w:p>
      <w:pPr>
        <w:spacing w:after="0" w:line="18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 technology solution company focused on the health care industry. Our objective is to bring better access to better 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our consumer website, OptimizeRx.com, we have matured as a technology solutions provider through our direct to physician solutions, which allows physicians to automatically display and distribute sample vouchers and/or co-pay coupons electronically within the ePrescription platform to pharmacies on behalf of their patients. The OptimizeRx solution is integrated into the ePrescribing or Electronic Medical Records applications, but can also be accessed on a desktop computer, as well as most mobile devices.</w:t>
      </w:r>
    </w:p>
    <w:p>
      <w:pPr>
        <w:spacing w:after="0" w:line="18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Our solutions provide health care institutions with an alternative option to the traditional inefficiencies and issues associated with storing and managing physical drug samples and pre-printed coupons and provide better access and affordability to patients to improve affordability, adherence, education and outcomes. In turn, we provide pharmaceutical manufacturers with both direct-to-consumer and direct-to-physician channels for more efficiently communicating and promoting their products and savings with a method of transparent return on investment.</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consolidated financial statements for the three and six month periods ended June 30, 2016 and 2015, have been prepared by us without audit pursuant to the rules and regulations of the Securities and Exchange Commission. In the opinion of management, all adjustments necessary to present fairly our financial position, results of operations, and cash flows as of June 30,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Securities and Exchange Commission.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results of operations for the three and six month periods ended June 30, 2016, are not necessarily indicative of the results to be expected for the full year. Certain reclassifications have been made in our consolidated financial statements for the prior period to conform to the presentation of our consolidated financial statements for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March 2016, we issued 12,500 shares of common stock to Independent Directors in connection with our Director Compensation plan which calls for the issuance of 6,250 shares per quarter to each Independent Director. These shares were valued at $13,125. In July 2016, we issued an additional 12,500 shares of common stock, valued at $14,375 that were reflected in stock payable at June 30, 2016.</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January 2015, we issued 12,500 shares of common stock to our Independent Directors in connection with the same compensation plan. Those shares were recorded as stock payable at December 31, 2014. In addition, we recorded an additional 12,500 shares, valued at $16,375, as stock payable at March 31, 2015 for shares that were issued in April 2015 and, finally, 12,500 shares, valued at $13,375, that were issued in June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June 2015, we agreed to grant 197,605 fully vested shares of our common stock to two executive officers as bonuses. These shares were not issued, but were recorded as stock payable and could be requested by the officers at any time. A total of 79,042 of these shares were redeemed in cash in February 2016, in lieu of issuing the shares and the remaining 118,563 shares remain in stock payable at June 30, 2016. We also issued 50,000 shares of common stock in June 2016 related to shares that were previously reflected in common stock payable. In addition, we issued 69,519 shares during the six-month period ended June 30, 2016 in connection with the cashless exercise of previous option grants that were approaching expiration.</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issued 100,000 shares of common stock, valued at $110,000, to Shadron Stastney in connection with the settlement of litigation described in greater detail in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use the fair value method to account for stock-based compensation. We recorded $155,703 and $110,039 in compensation expense in the periods ended June 30, 2016 and 2015,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in April 2016, we and the previous CEO entered into a separation agreement and an 18-month consulting agreement, both of which we recently disclosed in a Form 8-K that we filed with the U.S. Securities and Exchange Commission. The consulting agreement set forth the terms of the previous CEO’s continued relationship with our company. He remained our employee through March 31, 2016 and the consulting agreement began April 1, 2016. Under the terms of the consulting agreement, he will receive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Commencing in September, 2014, we have been a party to a lawsuit involving our prior CEO, Shadron Stastney,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 We have tendered Mr. Stastney the cash and shares and registered his shares in fulfillment of our settlement obligations.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2015, we initiated litigation against LDM Group, LLC and PDR Network, LLC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In addition, our claims include PDR’s breach of the Master Services Agreement requiring PDR to exclusively use our eCoupon solution. We assert that PDR’s acquisition of LDM and the use of the LDM network to distribute coupons by PDR violates the agreement between the parties. We are seeking enforcement of the agreements and we are seeking damages in an amount at least equal to the amounts paid to date to LDM under the settlement agreement, which is in excess of $1.0 million, as well as damages for lost income and business value as a result of LDM and PDR’s breach of the agreements.</w:t>
      </w:r>
    </w:p>
    <w:p>
      <w:pPr>
        <w:spacing w:after="0" w:line="17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case is currently before the court in the State of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accordance with ASC 855-10, we have analyzed our operations subsequent to June 30, 2016 through the date these financial statements were issued and have determined that we do not have any material subsequent events to disclose in these financial statements other than the events described below.</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2016, we issued 384,188 shares of our common stock to an unrelated investor and used the proceeds to retire a stock payable due to an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July, 2016</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for the first six months of 2016 were approximately $1.67 million, a 15% increase over the same period in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sales for the second quarter ended June 30, 2016 were in excess of $1.9 million, an increase of 12% over the same quarter in 2015.</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 new CEO to lead us in our next stage of growth.</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an experienced Senior Vice President of Business Development to lead the expansion of our EHR network, as well as increase utilization of our existing network.</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an experienced Senior Vice President of Product and Strategy to lead the expansion of our product 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partnerships with WPP is starting to show promise with the addition of 17 new brands in our pipeline.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initiated a re-branding of our company to demonstrate our ability to bring financial and clinical messaging as well as brand support services, such as drug file integration and sale force training.</w:t>
      </w: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 full technology review and have kicked off several efforts to drive revenue growth with additional services for our existing clients. We expect those to be completed by Q3 2016.</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ind w:right="320"/>
        <w:spacing w:after="0" w:line="312" w:lineRule="auto"/>
        <w:rPr>
          <w:sz w:val="20"/>
          <w:szCs w:val="20"/>
          <w:color w:val="auto"/>
        </w:rPr>
      </w:pPr>
      <w:r>
        <w:rPr>
          <w:rFonts w:ascii="Arial" w:cs="Arial" w:eastAsia="Arial" w:hAnsi="Arial"/>
          <w:sz w:val="16"/>
          <w:szCs w:val="16"/>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total revenue for the three months ended June 30, 2016 was approximately $1.9 million, an increase of 12% over the approximately $1.7 million from the same period in 2016. Our total revenue for the six months ended June 30, 2015 was approximately $3.7 million, an increase of 15% over the approximately $3.2 million from the same period in 2015. These increased revenues result from both increased pharmaceutical brands being promoted and expanded distribution channels. We expect continued quarter over quarter revenue increases for the balance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cost of sales, comprised of revenue share expense, increased over the same period in 2015 as a result of the revenue increases. However, as a percentage of sales, cost of sales declined from 51.4% for the six months ended June 30, 2015 to 49.4% for the six months ended June 30, 2016. It also decreased from 51.7% for the quarter ended June 30, 2015 to 48.2% for the quarter ended June 30, 2016.</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this percentage to continue to gradually decrease in future quarters as we implement new channels with lower revenue share percentages and as we update our existing agreements to share third party costs, with a goal of a decrease of at least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Operating expenses increased from approximately $1.0 million for the three-month period ended June 30, 2015 to approximately $1.6 million for the same period in 2016. Operating expenses increased from approximately $1.8 million for the six-month period ended June 30, 2015 to approximately $2.8 for the same period in 2016. The detail by major category is reflected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773,231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1,330,437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281,471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Board Compensation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Consultants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8,698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73,836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51,059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79,668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56,445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49,028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32,233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71,290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58,897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34,174</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1,432,982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980,659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2,661,546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2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1,592,982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2,821,546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-3472815</wp:posOffset>
            </wp:positionV>
            <wp:extent cx="7246620" cy="3018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187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color w:val="auto"/>
        </w:rPr>
        <w:t>The largest increases in operating expenses related to human resource costs and professional fees intended to accelerate our growth. Since the second quarter of 2015, we have hired a Vice President of Client Services, a Senior Vice President of Business Development, a Senior Vice President of Product and Strategy, an additional Vice President of Sales, and a new CEO. The first six months of 2016 includes an overlap period in the CEO position where our new CEO started in February and our previous CEO remained on the payroll until March 31. These new hires also resulted in increases in benefits, payroll taxes, and travel. Our professional fees increased significantly as a result of the litigation described in the footnotes to our financial statements. Both of our legal cases were in active periods during the first six months of 2016. We settled the Stastney litigation in May 2016, which is the lawsuit settlement reflected in the table above. That will end the legal cost related to that litigation, however, we expect to continue to incur significant costs related to the ongoing PDR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net loss for the three months ended June 30, 2016 was approximately $592,000 as compared to a loss of approximately $157,000 during the same period in 2015. Our net loss for the six months ended June 30, 2016 was approximately $944,000 as compared to a loss of approximately $268,000 during the same period in 2015. The reasons for specific components are discussed above. Overall, the increased loss for the six-month period is primarily explained by the increase in operating expenses intended to accelerate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2016, we had total current assets of approximately $9.8 million, compared with current liabilities of approximately $2.8 million, resulting in working capital of approximately $7.0 million and a current ratio of approximately 3.5 to 1, slightly decreased from the working capital of approximately $7.8 million and current ratio of 3.3 to 1 at December 31, 2015.</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cash flow for the six months ended June 30, 2016 was negatively impacted by a one-time payment of $720,415 to our previous CEO in lieu of issuance of approximately 595,000 common shares due to him from prior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payment affected cash used in financing activities.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six-months ended June 30, 2016, as presented and after removing the effect of this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Adjusted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remove effect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of one-time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As presented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payment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0"/>
              </w:rPr>
              <w:t>(177,377)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98"/>
              </w:rPr>
              <w:t>(105,990)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(105,990)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8"/>
              </w:rPr>
              <w:t>(357,415)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8"/>
              </w:rPr>
              <w:t>(640,782)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129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94765"/>
                    </a:xfrm>
                    <a:prstGeom prst="rect">
                      <a:avLst/>
                    </a:prstGeom>
                    <a:noFill/>
                  </pic:spPr>
                </pic:pic>
              </a:graphicData>
            </a:graphic>
          </wp:anchor>
        </w:drawing>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activities used approximately $177,000 in cash flow during the six months ended June 30, 2016, compared with cash generated of approximately $246,000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$186,000.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right="200"/>
        <w:spacing w:after="0" w:line="264" w:lineRule="auto"/>
        <w:rPr>
          <w:sz w:val="20"/>
          <w:szCs w:val="20"/>
          <w:color w:val="auto"/>
        </w:rPr>
      </w:pPr>
      <w:r>
        <w:rPr>
          <w:rFonts w:ascii="Arial" w:cs="Arial" w:eastAsia="Arial" w:hAnsi="Arial"/>
          <w:sz w:val="18"/>
          <w:szCs w:val="18"/>
          <w:color w:val="auto"/>
        </w:rPr>
        <w:t>We used approximately $106,000 in investing activities in the six months ended June 30, 2016 compared with approximately $47,000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used approximately $357,000 in financing activities by retiring stock payable due to our previous CEO. These shares were due as a result of previously granted stock awards in 2014 and 2015, for which shares had not yet been issued. These shares were recorded as stock payable on the balance sheet at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revenue recognition, revenue share expense, stock-based compensation, capitalization and related amortization of intangible assets, and impairment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2016. This evaluation was carried out under the supervision and with the participation of our Chief Executive Officer and our Chief Financial Officer. Based upon that evaluation, our Chief Executive Officer and Chief Financial Officer concluded that, as of June 30, 2016, our disclosure controls and procedures are not completely effective due to the presence of material weaknesses in internal control over financial reporting.</w:t>
      </w:r>
    </w:p>
    <w:p>
      <w:pPr>
        <w:spacing w:after="0" w:line="15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June 30, 2016, our disclosure controls and procedures were not effective: (i) inadequate segregation of duties; (ii) inadequate communication channels from the Board of Directors to management; and (iii) inadequate information technology reporting systems to insure that accurate financial information is provided for accounting and financial reporting with respect to the requirements and application of both US GAAP and SEC guidelines.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and strengthen our technical systems to increase the reliability of information provided. We have hired a new CEO who plans to focus on improving our technical systems and controls. We also intend to establish procedures and have them in place by the third quarter of this year to ensure that responsible members of management, or our SEC attorney, attend all Board meetings to ensure that information affecting the financial statements and financial statement disclosures is adequately disseminated.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Commencing in September, 2014, we have been a party to a lawsuit involving our prior CEO, Shadron Stastney,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 We have tendered Mr. Stastney the cash and shares and registered his shares in fulfillment of our settlement obligations.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2015, we initiated litigation against LDM Group, LLC and PDR Network, LLC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In addition, our claims include PDR’s breach of the Master Services Agreement requiring PDR to exclusively use our eCoupon solution. We assert that PDR’s acquisition of LDM and the use of the LDM network to distribute coupons by PDR violates the agreement between the parties. We are seeking enforcement of the agreements and we are seeking damages in an amount at least equal to the amounts paid to date to LDM under the settlement agreement, which is in excess of $1.0 million, as well as damages for lost income and business value as a result of LDM and PDR’s breach of the agreements.</w:t>
      </w:r>
    </w:p>
    <w:p>
      <w:pPr>
        <w:spacing w:after="0" w:line="17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case is currently before the court in the State of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May 2016 we issued 100,000 shares of common stock in connection with the settlement of litigation. Also, in May 2016, we issued 35,284 shares of common stock in connection with the cashless exercise of expiring options to employees, or former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June 2016, we issue 50,000 shares of common stock to a former employee related to shares granted in 2014, but previously not issued.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July 2016, we issued 384,188 shares of our common stock to an unrelated investor and used the proceeds to retire a stock payable due to an executive officer.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302 of the Sarbanes-Oxley Act of</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 Act of</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2002</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The following materials from the Company’s Quarterly Report on Form 10-Q for the quarter ended June 30, 2016 formatted in Extensible</w:t>
            </w:r>
          </w:p>
        </w:tc>
      </w:tr>
    </w:tbl>
    <w:p>
      <w:pPr>
        <w:ind w:left="1160"/>
        <w:spacing w:after="0"/>
        <w:rPr>
          <w:sz w:val="20"/>
          <w:szCs w:val="20"/>
          <w:color w:val="auto"/>
        </w:rPr>
      </w:pPr>
      <w:r>
        <w:rPr>
          <w:rFonts w:ascii="Arial" w:cs="Arial" w:eastAsia="Arial" w:hAnsi="Arial"/>
          <w:sz w:val="18"/>
          <w:szCs w:val="18"/>
          <w:color w:val="auto"/>
        </w:rPr>
        <w:t>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Date: August 8,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w w:val="94"/>
              </w:rPr>
              <w:t>Chief Financial Officer, Principal Financial Officer</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and Principal Accounting Officer</w:t>
            </w:r>
          </w:p>
        </w:tc>
      </w:tr>
    </w:tbl>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16" w:name="page17"/>
    <w:bookmarkEnd w:id="16"/>
    <w:p>
      <w:pPr>
        <w:ind w:left="10240"/>
        <w:spacing w:after="0"/>
        <w:rPr>
          <w:sz w:val="20"/>
          <w:szCs w:val="20"/>
          <w:color w:val="auto"/>
        </w:rPr>
      </w:pPr>
      <w:r>
        <w:rPr>
          <w:rFonts w:ascii="Arial" w:cs="Arial" w:eastAsia="Arial" w:hAnsi="Arial"/>
          <w:sz w:val="19"/>
          <w:szCs w:val="19"/>
          <w:b w:val="1"/>
          <w:bCs w:val="1"/>
          <w:color w:val="auto"/>
        </w:rPr>
        <w:t>Exhibit 31.1</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OptimizeRx Corp (the “registrant”);</w:t>
      </w:r>
    </w:p>
    <w:p>
      <w:pPr>
        <w:spacing w:after="0" w:line="225" w:lineRule="exact"/>
        <w:rPr>
          <w:rFonts w:ascii="Arial" w:cs="Arial" w:eastAsia="Arial" w:hAnsi="Arial"/>
          <w:sz w:val="18"/>
          <w:szCs w:val="18"/>
          <w:color w:val="auto"/>
        </w:rPr>
      </w:pPr>
    </w:p>
    <w:p>
      <w:pPr>
        <w:jc w:val="both"/>
        <w:ind w:left="580" w:right="32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8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2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2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2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00" w:hanging="571"/>
        <w:spacing w:after="0" w:line="34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0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40" w:hanging="571"/>
        <w:spacing w:after="0" w:line="34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2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380"/>
          </w:cols>
          <w:pgMar w:left="240" w:top="112" w:right="27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OptimizeRx Corp (the “registrant”);</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2016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8,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8, 2016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2019-12-08T18:32:24Z</dcterms:created>
  <dcterms:modified xsi:type="dcterms:W3CDTF">2019-12-08T18:32:24Z</dcterms:modified>
</cp:coreProperties>
</file>