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60" w:type="dxa"/>
            <w:vAlign w:val="bottom"/>
            <w:gridSpan w:val="6"/>
          </w:tcPr>
          <w:p>
            <w:pPr>
              <w:jc w:val="center"/>
              <w:ind w:right="1460"/>
              <w:spacing w:after="0"/>
              <w:rPr>
                <w:sz w:val="20"/>
                <w:szCs w:val="20"/>
                <w:color w:val="auto"/>
              </w:rPr>
            </w:pPr>
            <w:r>
              <w:rPr>
                <w:rFonts w:ascii="Arial" w:cs="Arial" w:eastAsia="Arial" w:hAnsi="Arial"/>
                <w:sz w:val="18"/>
                <w:szCs w:val="18"/>
                <w:b w:val="1"/>
                <w:bCs w:val="1"/>
                <w:color w:val="auto"/>
              </w:rPr>
              <w:t>FORM 8-K</w:t>
            </w:r>
          </w:p>
        </w:tc>
        <w:tc>
          <w:tcPr>
            <w:tcW w:w="3340" w:type="dxa"/>
            <w:vAlign w:val="bottom"/>
          </w:tcPr>
          <w:p>
            <w:pPr>
              <w:spacing w:after="0"/>
              <w:rPr>
                <w:sz w:val="20"/>
                <w:szCs w:val="20"/>
                <w:color w:val="auto"/>
              </w:rPr>
            </w:pPr>
          </w:p>
        </w:tc>
      </w:tr>
      <w:tr>
        <w:trPr>
          <w:trHeight w:val="414"/>
        </w:trPr>
        <w:tc>
          <w:tcPr>
            <w:tcW w:w="3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60" w:type="dxa"/>
            <w:vAlign w:val="bottom"/>
            <w:gridSpan w:val="6"/>
          </w:tcPr>
          <w:p>
            <w:pPr>
              <w:jc w:val="center"/>
              <w:ind w:right="1460"/>
              <w:spacing w:after="0"/>
              <w:rPr>
                <w:sz w:val="20"/>
                <w:szCs w:val="20"/>
                <w:color w:val="auto"/>
              </w:rPr>
            </w:pPr>
            <w:r>
              <w:rPr>
                <w:rFonts w:ascii="Arial" w:cs="Arial" w:eastAsia="Arial" w:hAnsi="Arial"/>
                <w:sz w:val="18"/>
                <w:szCs w:val="18"/>
                <w:b w:val="1"/>
                <w:bCs w:val="1"/>
                <w:color w:val="auto"/>
                <w:w w:val="99"/>
              </w:rPr>
              <w:t>CURRENT REPORT</w:t>
            </w:r>
          </w:p>
        </w:tc>
        <w:tc>
          <w:tcPr>
            <w:tcW w:w="3340" w:type="dxa"/>
            <w:vAlign w:val="bottom"/>
          </w:tcPr>
          <w:p>
            <w:pPr>
              <w:spacing w:after="0"/>
              <w:rPr>
                <w:sz w:val="24"/>
                <w:szCs w:val="24"/>
                <w:color w:val="auto"/>
              </w:rPr>
            </w:pPr>
          </w:p>
        </w:tc>
      </w:tr>
      <w:tr>
        <w:trPr>
          <w:trHeight w:val="216"/>
        </w:trPr>
        <w:tc>
          <w:tcPr>
            <w:tcW w:w="3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80" w:type="dxa"/>
            <w:vAlign w:val="bottom"/>
            <w:gridSpan w:val="7"/>
          </w:tcPr>
          <w:p>
            <w:pPr>
              <w:jc w:val="center"/>
              <w:ind w:right="560"/>
              <w:spacing w:after="0"/>
              <w:rPr>
                <w:sz w:val="20"/>
                <w:szCs w:val="20"/>
                <w:color w:val="auto"/>
              </w:rPr>
            </w:pPr>
            <w:r>
              <w:rPr>
                <w:rFonts w:ascii="Arial" w:cs="Arial" w:eastAsia="Arial" w:hAnsi="Arial"/>
                <w:sz w:val="18"/>
                <w:szCs w:val="18"/>
                <w:b w:val="1"/>
                <w:bCs w:val="1"/>
                <w:color w:val="auto"/>
                <w:w w:val="97"/>
              </w:rPr>
              <w:t>PURSUANT TO SECTION 13 OR 15(d) OF</w:t>
            </w:r>
          </w:p>
        </w:tc>
        <w:tc>
          <w:tcPr>
            <w:tcW w:w="3340" w:type="dxa"/>
            <w:vAlign w:val="bottom"/>
          </w:tcPr>
          <w:p>
            <w:pPr>
              <w:spacing w:after="0"/>
              <w:rPr>
                <w:sz w:val="18"/>
                <w:szCs w:val="18"/>
                <w:color w:val="auto"/>
              </w:rPr>
            </w:pPr>
          </w:p>
        </w:tc>
      </w:tr>
      <w:tr>
        <w:trPr>
          <w:trHeight w:val="234"/>
        </w:trPr>
        <w:tc>
          <w:tcPr>
            <w:tcW w:w="3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20" w:type="dxa"/>
            <w:vAlign w:val="bottom"/>
            <w:gridSpan w:val="8"/>
          </w:tcPr>
          <w:p>
            <w:pPr>
              <w:jc w:val="center"/>
              <w:ind w:right="300"/>
              <w:spacing w:after="0"/>
              <w:rPr>
                <w:sz w:val="20"/>
                <w:szCs w:val="20"/>
                <w:color w:val="auto"/>
              </w:rPr>
            </w:pPr>
            <w:r>
              <w:rPr>
                <w:rFonts w:ascii="Arial" w:cs="Arial" w:eastAsia="Arial" w:hAnsi="Arial"/>
                <w:sz w:val="18"/>
                <w:szCs w:val="18"/>
                <w:b w:val="1"/>
                <w:bCs w:val="1"/>
                <w:color w:val="auto"/>
                <w:w w:val="99"/>
              </w:rPr>
              <w:t>THE SECURITIES EXCHANGE ACT OF 1934</w:t>
            </w:r>
          </w:p>
        </w:tc>
        <w:tc>
          <w:tcPr>
            <w:tcW w:w="3340" w:type="dxa"/>
            <w:vAlign w:val="bottom"/>
          </w:tcPr>
          <w:p>
            <w:pPr>
              <w:spacing w:after="0"/>
              <w:rPr>
                <w:sz w:val="20"/>
                <w:szCs w:val="20"/>
                <w:color w:val="auto"/>
              </w:rPr>
            </w:pPr>
          </w:p>
        </w:tc>
      </w:tr>
      <w:tr>
        <w:trPr>
          <w:trHeight w:val="432"/>
        </w:trPr>
        <w:tc>
          <w:tcPr>
            <w:tcW w:w="3140" w:type="dxa"/>
            <w:vAlign w:val="bottom"/>
          </w:tcPr>
          <w:p>
            <w:pPr>
              <w:spacing w:after="0"/>
              <w:rPr>
                <w:sz w:val="24"/>
                <w:szCs w:val="24"/>
                <w:color w:val="auto"/>
              </w:rPr>
            </w:pPr>
          </w:p>
        </w:tc>
        <w:tc>
          <w:tcPr>
            <w:tcW w:w="4940" w:type="dxa"/>
            <w:vAlign w:val="bottom"/>
            <w:gridSpan w:val="9"/>
          </w:tcPr>
          <w:p>
            <w:pPr>
              <w:jc w:val="center"/>
              <w:ind w:left="110"/>
              <w:spacing w:after="0"/>
              <w:rPr>
                <w:sz w:val="20"/>
                <w:szCs w:val="20"/>
                <w:color w:val="auto"/>
              </w:rPr>
            </w:pPr>
            <w:r>
              <w:rPr>
                <w:rFonts w:ascii="Arial" w:cs="Arial" w:eastAsia="Arial" w:hAnsi="Arial"/>
                <w:sz w:val="18"/>
                <w:szCs w:val="18"/>
                <w:color w:val="auto"/>
                <w:w w:val="90"/>
              </w:rPr>
              <w:t>Date of Report (Date of earliest event reported): June 4, 2019</w:t>
            </w:r>
          </w:p>
        </w:tc>
        <w:tc>
          <w:tcPr>
            <w:tcW w:w="3340" w:type="dxa"/>
            <w:vAlign w:val="bottom"/>
          </w:tcPr>
          <w:p>
            <w:pPr>
              <w:spacing w:after="0"/>
              <w:rPr>
                <w:sz w:val="24"/>
                <w:szCs w:val="24"/>
                <w:color w:val="auto"/>
              </w:rPr>
            </w:pPr>
          </w:p>
        </w:tc>
      </w:tr>
      <w:tr>
        <w:trPr>
          <w:trHeight w:val="392"/>
        </w:trPr>
        <w:tc>
          <w:tcPr>
            <w:tcW w:w="3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OptimizeRx Corporation</w:t>
            </w:r>
          </w:p>
        </w:tc>
        <w:tc>
          <w:tcPr>
            <w:tcW w:w="1460" w:type="dxa"/>
            <w:vAlign w:val="bottom"/>
            <w:gridSpan w:val="3"/>
          </w:tcPr>
          <w:p>
            <w:pPr>
              <w:spacing w:after="0"/>
              <w:rPr>
                <w:sz w:val="24"/>
                <w:szCs w:val="24"/>
                <w:color w:val="auto"/>
              </w:rPr>
            </w:pPr>
          </w:p>
        </w:tc>
        <w:tc>
          <w:tcPr>
            <w:tcW w:w="3340" w:type="dxa"/>
            <w:vAlign w:val="bottom"/>
          </w:tcPr>
          <w:p>
            <w:pPr>
              <w:spacing w:after="0"/>
              <w:rPr>
                <w:sz w:val="24"/>
                <w:szCs w:val="24"/>
                <w:color w:val="auto"/>
              </w:rPr>
            </w:pPr>
          </w:p>
        </w:tc>
      </w:tr>
      <w:tr>
        <w:trPr>
          <w:trHeight w:val="237"/>
        </w:trPr>
        <w:tc>
          <w:tcPr>
            <w:tcW w:w="3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20" w:type="dxa"/>
            <w:vAlign w:val="bottom"/>
            <w:gridSpan w:val="8"/>
          </w:tcPr>
          <w:p>
            <w:pPr>
              <w:jc w:val="center"/>
              <w:ind w:right="300"/>
              <w:spacing w:after="0"/>
              <w:rPr>
                <w:sz w:val="20"/>
                <w:szCs w:val="20"/>
                <w:color w:val="auto"/>
              </w:rPr>
            </w:pPr>
            <w:r>
              <w:rPr>
                <w:rFonts w:ascii="Arial" w:cs="Arial" w:eastAsia="Arial" w:hAnsi="Arial"/>
                <w:sz w:val="18"/>
                <w:szCs w:val="18"/>
                <w:color w:val="auto"/>
                <w:w w:val="90"/>
              </w:rPr>
              <w:t>(Exact name of registrant as specified in its charter)</w:t>
            </w:r>
          </w:p>
        </w:tc>
        <w:tc>
          <w:tcPr>
            <w:tcW w:w="3340" w:type="dxa"/>
            <w:vAlign w:val="bottom"/>
          </w:tcPr>
          <w:p>
            <w:pPr>
              <w:spacing w:after="0"/>
              <w:rPr>
                <w:sz w:val="20"/>
                <w:szCs w:val="20"/>
                <w:color w:val="auto"/>
              </w:rPr>
            </w:pPr>
          </w:p>
        </w:tc>
      </w:tr>
      <w:tr>
        <w:trPr>
          <w:trHeight w:val="453"/>
        </w:trPr>
        <w:tc>
          <w:tcPr>
            <w:tcW w:w="3140" w:type="dxa"/>
            <w:vAlign w:val="bottom"/>
          </w:tcPr>
          <w:p>
            <w:pPr>
              <w:jc w:val="center"/>
              <w:ind w:left="450"/>
              <w:spacing w:after="0"/>
              <w:rPr>
                <w:sz w:val="20"/>
                <w:szCs w:val="20"/>
                <w:color w:val="auto"/>
              </w:rPr>
            </w:pPr>
            <w:r>
              <w:rPr>
                <w:rFonts w:ascii="Arial" w:cs="Arial" w:eastAsia="Arial" w:hAnsi="Arial"/>
                <w:sz w:val="18"/>
                <w:szCs w:val="18"/>
                <w:color w:val="auto"/>
                <w:w w:val="90"/>
              </w:rPr>
              <w:t>Nevada</w:t>
            </w:r>
          </w:p>
        </w:tc>
        <w:tc>
          <w:tcPr>
            <w:tcW w:w="3480" w:type="dxa"/>
            <w:vAlign w:val="bottom"/>
            <w:gridSpan w:val="6"/>
          </w:tcPr>
          <w:p>
            <w:pPr>
              <w:jc w:val="center"/>
              <w:ind w:left="1610"/>
              <w:spacing w:after="0"/>
              <w:rPr>
                <w:sz w:val="20"/>
                <w:szCs w:val="20"/>
                <w:color w:val="auto"/>
              </w:rPr>
            </w:pPr>
            <w:r>
              <w:rPr>
                <w:rFonts w:ascii="Arial" w:cs="Arial" w:eastAsia="Arial" w:hAnsi="Arial"/>
                <w:sz w:val="18"/>
                <w:szCs w:val="18"/>
                <w:color w:val="auto"/>
                <w:w w:val="90"/>
              </w:rPr>
              <w:t>000-53605</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40" w:type="dxa"/>
            <w:vAlign w:val="bottom"/>
          </w:tcPr>
          <w:p>
            <w:pPr>
              <w:jc w:val="center"/>
              <w:ind w:right="210"/>
              <w:spacing w:after="0"/>
              <w:rPr>
                <w:sz w:val="20"/>
                <w:szCs w:val="20"/>
                <w:color w:val="auto"/>
              </w:rPr>
            </w:pPr>
            <w:r>
              <w:rPr>
                <w:rFonts w:ascii="Arial" w:cs="Arial" w:eastAsia="Arial" w:hAnsi="Arial"/>
                <w:sz w:val="18"/>
                <w:szCs w:val="18"/>
                <w:color w:val="auto"/>
                <w:w w:val="91"/>
              </w:rPr>
              <w:t>26-1265381</w:t>
            </w:r>
          </w:p>
        </w:tc>
      </w:tr>
      <w:tr>
        <w:trPr>
          <w:trHeight w:val="202"/>
        </w:trPr>
        <w:tc>
          <w:tcPr>
            <w:tcW w:w="3140" w:type="dxa"/>
            <w:vAlign w:val="bottom"/>
            <w:tcBorders>
              <w:top w:val="single" w:sz="8" w:color="auto"/>
            </w:tcBorders>
          </w:tcPr>
          <w:p>
            <w:pPr>
              <w:jc w:val="center"/>
              <w:ind w:left="450"/>
              <w:spacing w:after="0" w:line="201" w:lineRule="exact"/>
              <w:rPr>
                <w:sz w:val="20"/>
                <w:szCs w:val="20"/>
                <w:color w:val="auto"/>
              </w:rPr>
            </w:pPr>
            <w:r>
              <w:rPr>
                <w:rFonts w:ascii="Arial" w:cs="Arial" w:eastAsia="Arial" w:hAnsi="Arial"/>
                <w:sz w:val="18"/>
                <w:szCs w:val="18"/>
                <w:color w:val="auto"/>
                <w:w w:val="91"/>
              </w:rPr>
              <w:t>(State or other jurisdiction</w:t>
            </w:r>
          </w:p>
        </w:tc>
        <w:tc>
          <w:tcPr>
            <w:tcW w:w="5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660" w:type="dxa"/>
            <w:vAlign w:val="bottom"/>
            <w:tcBorders>
              <w:top w:val="single" w:sz="8" w:color="auto"/>
            </w:tcBorders>
            <w:gridSpan w:val="5"/>
          </w:tcPr>
          <w:p>
            <w:pPr>
              <w:jc w:val="center"/>
              <w:spacing w:after="0" w:line="201" w:lineRule="exact"/>
              <w:rPr>
                <w:sz w:val="20"/>
                <w:szCs w:val="20"/>
                <w:color w:val="auto"/>
              </w:rPr>
            </w:pPr>
            <w:r>
              <w:rPr>
                <w:rFonts w:ascii="Arial" w:cs="Arial" w:eastAsia="Arial" w:hAnsi="Arial"/>
                <w:sz w:val="18"/>
                <w:szCs w:val="18"/>
                <w:color w:val="auto"/>
                <w:w w:val="92"/>
              </w:rPr>
              <w:t>(Commission File Number)</w:t>
            </w:r>
          </w:p>
        </w:tc>
        <w:tc>
          <w:tcPr>
            <w:tcW w:w="2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3340" w:type="dxa"/>
            <w:vAlign w:val="bottom"/>
            <w:tcBorders>
              <w:top w:val="single" w:sz="8" w:color="auto"/>
            </w:tcBorders>
          </w:tcPr>
          <w:p>
            <w:pPr>
              <w:jc w:val="center"/>
              <w:ind w:right="270"/>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3140" w:type="dxa"/>
            <w:vAlign w:val="bottom"/>
          </w:tcPr>
          <w:p>
            <w:pPr>
              <w:jc w:val="center"/>
              <w:ind w:left="450"/>
              <w:spacing w:after="0"/>
              <w:rPr>
                <w:sz w:val="20"/>
                <w:szCs w:val="20"/>
                <w:color w:val="auto"/>
              </w:rPr>
            </w:pPr>
            <w:r>
              <w:rPr>
                <w:rFonts w:ascii="Arial" w:cs="Arial" w:eastAsia="Arial" w:hAnsi="Arial"/>
                <w:sz w:val="18"/>
                <w:szCs w:val="18"/>
                <w:color w:val="auto"/>
                <w:w w:val="95"/>
              </w:rPr>
              <w:t>of incorporation)</w:t>
            </w: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340" w:type="dxa"/>
            <w:vAlign w:val="bottom"/>
          </w:tcPr>
          <w:p>
            <w:pPr>
              <w:jc w:val="center"/>
              <w:ind w:right="230"/>
              <w:spacing w:after="0"/>
              <w:rPr>
                <w:sz w:val="20"/>
                <w:szCs w:val="20"/>
                <w:color w:val="auto"/>
              </w:rPr>
            </w:pPr>
            <w:r>
              <w:rPr>
                <w:rFonts w:ascii="Arial" w:cs="Arial" w:eastAsia="Arial" w:hAnsi="Arial"/>
                <w:sz w:val="18"/>
                <w:szCs w:val="18"/>
                <w:color w:val="auto"/>
                <w:w w:val="95"/>
              </w:rPr>
              <w:t>Identification No.)</w:t>
            </w:r>
          </w:p>
        </w:tc>
      </w:tr>
      <w:tr>
        <w:trPr>
          <w:trHeight w:val="453"/>
        </w:trPr>
        <w:tc>
          <w:tcPr>
            <w:tcW w:w="8080" w:type="dxa"/>
            <w:vAlign w:val="bottom"/>
            <w:gridSpan w:val="10"/>
          </w:tcPr>
          <w:p>
            <w:pPr>
              <w:jc w:val="center"/>
              <w:ind w:right="2460"/>
              <w:spacing w:after="0"/>
              <w:rPr>
                <w:sz w:val="20"/>
                <w:szCs w:val="20"/>
                <w:color w:val="auto"/>
              </w:rPr>
            </w:pPr>
            <w:r>
              <w:rPr>
                <w:rFonts w:ascii="Arial" w:cs="Arial" w:eastAsia="Arial" w:hAnsi="Arial"/>
                <w:sz w:val="18"/>
                <w:szCs w:val="18"/>
                <w:color w:val="auto"/>
                <w:w w:val="90"/>
              </w:rPr>
              <w:t>400 Water Street, Suite 200, Rochester, MI</w:t>
            </w:r>
          </w:p>
        </w:tc>
        <w:tc>
          <w:tcPr>
            <w:tcW w:w="3340" w:type="dxa"/>
            <w:vAlign w:val="bottom"/>
          </w:tcPr>
          <w:p>
            <w:pPr>
              <w:jc w:val="right"/>
              <w:ind w:right="2490"/>
              <w:spacing w:after="0"/>
              <w:rPr>
                <w:sz w:val="20"/>
                <w:szCs w:val="20"/>
                <w:color w:val="auto"/>
              </w:rPr>
            </w:pPr>
            <w:r>
              <w:rPr>
                <w:rFonts w:ascii="Arial" w:cs="Arial" w:eastAsia="Arial" w:hAnsi="Arial"/>
                <w:sz w:val="18"/>
                <w:szCs w:val="18"/>
                <w:color w:val="auto"/>
              </w:rPr>
              <w:t>48307</w:t>
            </w:r>
          </w:p>
        </w:tc>
      </w:tr>
      <w:tr>
        <w:trPr>
          <w:trHeight w:val="230"/>
        </w:trPr>
        <w:tc>
          <w:tcPr>
            <w:tcW w:w="562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gridSpan w:val="3"/>
          </w:tcPr>
          <w:p>
            <w:pPr>
              <w:spacing w:after="0"/>
              <w:rPr>
                <w:sz w:val="20"/>
                <w:szCs w:val="20"/>
                <w:color w:val="auto"/>
              </w:rPr>
            </w:pPr>
          </w:p>
        </w:tc>
        <w:tc>
          <w:tcPr>
            <w:tcW w:w="3340" w:type="dxa"/>
            <w:vAlign w:val="bottom"/>
            <w:tcBorders>
              <w:top w:val="single" w:sz="8" w:color="auto"/>
            </w:tcBorders>
          </w:tcPr>
          <w:p>
            <w:pPr>
              <w:jc w:val="center"/>
              <w:ind w:right="217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289560</wp:posOffset>
            </wp:positionV>
            <wp:extent cx="36277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400" w:type="dxa"/>
            <w:vAlign w:val="bottom"/>
            <w:gridSpan w:val="3"/>
          </w:tcPr>
          <w:p>
            <w:pPr>
              <w:spacing w:after="0"/>
              <w:rPr>
                <w:sz w:val="20"/>
                <w:szCs w:val="20"/>
                <w:color w:val="auto"/>
              </w:rPr>
            </w:pPr>
            <w:r>
              <w:rPr>
                <w:rFonts w:ascii="Arial" w:cs="Arial" w:eastAsia="Arial" w:hAnsi="Arial"/>
                <w:sz w:val="18"/>
                <w:szCs w:val="18"/>
                <w:color w:val="auto"/>
                <w:w w:val="95"/>
              </w:rPr>
              <w:t>Securities registered pursuant to Section 12(b) of the Act:</w:t>
            </w:r>
          </w:p>
        </w:tc>
        <w:tc>
          <w:tcPr>
            <w:tcW w:w="2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40" w:type="dxa"/>
            <w:vAlign w:val="bottom"/>
          </w:tcPr>
          <w:p>
            <w:pPr>
              <w:spacing w:after="0"/>
              <w:rPr>
                <w:sz w:val="20"/>
                <w:szCs w:val="20"/>
                <w:color w:val="auto"/>
              </w:rPr>
            </w:pPr>
          </w:p>
        </w:tc>
      </w:tr>
      <w:tr>
        <w:trPr>
          <w:trHeight w:val="439"/>
        </w:trPr>
        <w:tc>
          <w:tcPr>
            <w:tcW w:w="4400" w:type="dxa"/>
            <w:vAlign w:val="bottom"/>
            <w:gridSpan w:val="3"/>
          </w:tcPr>
          <w:p>
            <w:pPr>
              <w:jc w:val="center"/>
              <w:ind w:right="960"/>
              <w:spacing w:after="0"/>
              <w:rPr>
                <w:sz w:val="20"/>
                <w:szCs w:val="20"/>
                <w:color w:val="auto"/>
              </w:rPr>
            </w:pPr>
            <w:r>
              <w:rPr>
                <w:rFonts w:ascii="Arial" w:cs="Arial" w:eastAsia="Arial" w:hAnsi="Arial"/>
                <w:sz w:val="18"/>
                <w:szCs w:val="18"/>
                <w:b w:val="1"/>
                <w:bCs w:val="1"/>
                <w:color w:val="auto"/>
                <w:w w:val="87"/>
              </w:rPr>
              <w:t>Title of each class</w:t>
            </w:r>
          </w:p>
        </w:tc>
        <w:tc>
          <w:tcPr>
            <w:tcW w:w="2680" w:type="dxa"/>
            <w:vAlign w:val="bottom"/>
            <w:gridSpan w:val="2"/>
          </w:tcPr>
          <w:p>
            <w:pPr>
              <w:jc w:val="center"/>
              <w:ind w:right="940"/>
              <w:spacing w:after="0"/>
              <w:rPr>
                <w:sz w:val="20"/>
                <w:szCs w:val="20"/>
                <w:color w:val="auto"/>
              </w:rPr>
            </w:pPr>
            <w:r>
              <w:rPr>
                <w:rFonts w:ascii="Arial" w:cs="Arial" w:eastAsia="Arial" w:hAnsi="Arial"/>
                <w:sz w:val="18"/>
                <w:szCs w:val="18"/>
                <w:b w:val="1"/>
                <w:bCs w:val="1"/>
                <w:color w:val="auto"/>
                <w:w w:val="90"/>
              </w:rPr>
              <w:t>Trading symbol</w:t>
            </w:r>
          </w:p>
        </w:tc>
        <w:tc>
          <w:tcPr>
            <w:tcW w:w="43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6"/>
        </w:trPr>
        <w:tc>
          <w:tcPr>
            <w:tcW w:w="3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Common Stock</w:t>
            </w: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center"/>
              <w:ind w:right="770"/>
              <w:spacing w:after="0"/>
              <w:rPr>
                <w:sz w:val="20"/>
                <w:szCs w:val="20"/>
                <w:color w:val="auto"/>
              </w:rPr>
            </w:pPr>
            <w:r>
              <w:rPr>
                <w:rFonts w:ascii="Arial" w:cs="Arial" w:eastAsia="Arial" w:hAnsi="Arial"/>
                <w:sz w:val="18"/>
                <w:szCs w:val="18"/>
                <w:color w:val="auto"/>
                <w:w w:val="93"/>
              </w:rPr>
              <w:t>OPRX</w:t>
            </w:r>
          </w:p>
        </w:tc>
        <w:tc>
          <w:tcPr>
            <w:tcW w:w="100" w:type="dxa"/>
            <w:vAlign w:val="bottom"/>
            <w:tcBorders>
              <w:top w:val="single" w:sz="8" w:color="CCEEFF"/>
            </w:tcBorders>
            <w:shd w:val="clear" w:color="auto" w:fill="CCEEFF"/>
          </w:tcPr>
          <w:p>
            <w:pPr>
              <w:spacing w:after="0"/>
              <w:rPr>
                <w:sz w:val="18"/>
                <w:szCs w:val="18"/>
                <w:color w:val="auto"/>
              </w:rPr>
            </w:pPr>
          </w:p>
        </w:tc>
        <w:tc>
          <w:tcPr>
            <w:tcW w:w="4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Nasdaq Capital Markets</w:t>
            </w:r>
          </w:p>
        </w:tc>
      </w:tr>
      <w:tr>
        <w:trPr>
          <w:trHeight w:val="216"/>
        </w:trPr>
        <w:tc>
          <w:tcPr>
            <w:tcW w:w="34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340" w:type="dxa"/>
            <w:vAlign w:val="bottom"/>
            <w:tcBorders>
              <w:bottom w:val="single" w:sz="8" w:color="auto"/>
            </w:tcBorders>
          </w:tcPr>
          <w:p>
            <w:pPr>
              <w:spacing w:after="0"/>
              <w:rPr>
                <w:sz w:val="18"/>
                <w:szCs w:val="18"/>
                <w:color w:val="auto"/>
              </w:rPr>
            </w:pPr>
          </w:p>
        </w:tc>
      </w:tr>
      <w:tr>
        <w:trPr>
          <w:trHeight w:val="28"/>
        </w:trPr>
        <w:tc>
          <w:tcPr>
            <w:tcW w:w="3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682"/>
        </w:trPr>
        <w:tc>
          <w:tcPr>
            <w:tcW w:w="3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1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June 4, 2019, we issued a press release announcing a proposed underwritten public offering of shares of our common stock and on June 5, 2019, we issued a press release announcing the pricing of the proposed underwritten public offering. Copies of the press releases are attached as Exhibits 99.1 and 99.2 to this Current Report on Form 8-K.</w:t>
      </w:r>
    </w:p>
    <w:p>
      <w:pPr>
        <w:spacing w:after="0" w:line="18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information in Item 8.01 of this Current Report on Form 8-K (including Exhibits 99.1 and 99.2)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10380" w:type="dxa"/>
            <w:vAlign w:val="bottom"/>
            <w:gridSpan w:val="3"/>
          </w:tcPr>
          <w:p>
            <w:pPr>
              <w:spacing w:after="0"/>
              <w:rPr>
                <w:sz w:val="20"/>
                <w:szCs w:val="20"/>
                <w:color w:val="auto"/>
              </w:rPr>
            </w:pPr>
            <w:r>
              <w:rPr>
                <w:rFonts w:ascii="Arial" w:cs="Arial" w:eastAsia="Arial" w:hAnsi="Arial"/>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99.1</w:t>
            </w:r>
          </w:p>
        </w:tc>
        <w:tc>
          <w:tcPr>
            <w:tcW w:w="10380" w:type="dxa"/>
            <w:vAlign w:val="bottom"/>
            <w:gridSpan w:val="3"/>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Press release, dated June 4, 2019</w:t>
              </w:r>
            </w:hyperlink>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38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99.2</w:t>
            </w:r>
          </w:p>
        </w:tc>
        <w:tc>
          <w:tcPr>
            <w:tcW w:w="10380" w:type="dxa"/>
            <w:vAlign w:val="bottom"/>
            <w:gridSpan w:val="3"/>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Press Release, dated June 5, 2019</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79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June 5, 2019</w:t>
      </w:r>
    </w:p>
    <w:p>
      <w:pPr>
        <w:spacing w:after="0" w:line="200" w:lineRule="exact"/>
        <w:rPr>
          <w:sz w:val="20"/>
          <w:szCs w:val="20"/>
          <w:color w:val="auto"/>
        </w:rPr>
      </w:pPr>
    </w:p>
    <w:p>
      <w:pPr>
        <w:spacing w:after="0" w:line="2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240" w:top="877"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2192020</wp:posOffset>
            </wp:positionH>
            <wp:positionV relativeFrom="paragraph">
              <wp:posOffset>165735</wp:posOffset>
            </wp:positionV>
            <wp:extent cx="2872740" cy="8318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72740" cy="831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Announces Proposed Public Offering of Common Stock</w:t>
      </w:r>
    </w:p>
    <w:p>
      <w:pPr>
        <w:spacing w:after="0" w:line="225"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color w:val="auto"/>
        </w:rPr>
        <w:t xml:space="preserve">ROCHESTER, Mich., June 4, 2019 – </w:t>
      </w:r>
      <w:r>
        <w:rPr>
          <w:rFonts w:ascii="Arial" w:cs="Arial" w:eastAsia="Arial" w:hAnsi="Arial"/>
          <w:sz w:val="18"/>
          <w:szCs w:val="18"/>
          <w:color w:val="auto"/>
        </w:rPr>
        <w:t>OptimizeRx Corporation (Nasdaq: OPRX),</w:t>
      </w:r>
      <w:r>
        <w:rPr>
          <w:rFonts w:ascii="Arial" w:cs="Arial" w:eastAsia="Arial" w:hAnsi="Arial"/>
          <w:sz w:val="18"/>
          <w:szCs w:val="18"/>
          <w:b w:val="1"/>
          <w:bCs w:val="1"/>
          <w:color w:val="auto"/>
        </w:rPr>
        <w:t xml:space="preserve"> </w:t>
      </w:r>
      <w:r>
        <w:rPr>
          <w:rFonts w:ascii="Arial" w:cs="Arial" w:eastAsia="Arial" w:hAnsi="Arial"/>
          <w:sz w:val="18"/>
          <w:szCs w:val="18"/>
          <w:color w:val="auto"/>
          <w:highlight w:val="white"/>
        </w:rPr>
        <w:t>a leading provider of digital health messaging for the pharmaceutical</w:t>
      </w:r>
      <w:r>
        <w:rPr>
          <w:rFonts w:ascii="Arial" w:cs="Arial" w:eastAsia="Arial" w:hAnsi="Arial"/>
          <w:sz w:val="18"/>
          <w:szCs w:val="18"/>
          <w:b w:val="1"/>
          <w:bCs w:val="1"/>
          <w:color w:val="auto"/>
        </w:rPr>
        <w:t xml:space="preserve"> </w:t>
      </w:r>
      <w:r>
        <w:rPr>
          <w:rFonts w:ascii="Arial" w:cs="Arial" w:eastAsia="Arial" w:hAnsi="Arial"/>
          <w:sz w:val="18"/>
          <w:szCs w:val="18"/>
          <w:color w:val="auto"/>
          <w:highlight w:val="white"/>
        </w:rPr>
        <w:t xml:space="preserve">industry, </w:t>
      </w:r>
      <w:r>
        <w:rPr>
          <w:rFonts w:ascii="Arial" w:cs="Arial" w:eastAsia="Arial" w:hAnsi="Arial"/>
          <w:sz w:val="18"/>
          <w:szCs w:val="18"/>
          <w:color w:val="auto"/>
        </w:rPr>
        <w:t>today announced a proposed underwritten public offering of shares of its common stock. In connection with the offering, OptimizeRx expects to</w:t>
      </w:r>
      <w:r>
        <w:rPr>
          <w:rFonts w:ascii="Arial" w:cs="Arial" w:eastAsia="Arial" w:hAnsi="Arial"/>
          <w:sz w:val="18"/>
          <w:szCs w:val="18"/>
          <w:color w:val="auto"/>
          <w:highlight w:val="white"/>
        </w:rPr>
        <w:t xml:space="preserve"> </w:t>
      </w:r>
      <w:r>
        <w:rPr>
          <w:rFonts w:ascii="Arial" w:cs="Arial" w:eastAsia="Arial" w:hAnsi="Arial"/>
          <w:sz w:val="18"/>
          <w:szCs w:val="18"/>
          <w:color w:val="auto"/>
        </w:rPr>
        <w:t>grant the underwriters a 30-day option to purchase up to an additional 15% of the shares of its common stock offered in the public offering on the same terms and conditions. All shares to be sold in the offering are to be sold by OptimizeRx.</w:t>
      </w:r>
    </w:p>
    <w:p>
      <w:pPr>
        <w:spacing w:after="0" w:line="184"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net proceeds of the offering will be used for general corporate purposes, which may include future acquisitions. OptimizeRx does not have any immediate arrangements, commitments or understandings regarding any future acquisitions.</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William Blair &amp; Company, L.L.C. is acting as sole book-running manager for the offering. The offering is subject to market conditions, and there can be no assurance as to whether or when the offering will be completed, or as to the actual size or terms of the offering.</w:t>
      </w:r>
    </w:p>
    <w:p>
      <w:pPr>
        <w:spacing w:after="0" w:line="17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shares of common stock described above are being offered pursuant to a shelf registration statement on Form S-3 (File No. 333-228357) that was originally filed with the Securities and Exchange Commission (the “SEC”) on November 13, 2018 and declared effective by the SEC on December 11, 2018. A preliminary prospectus supplement and accompanying base prospectus relating to the offering and the shares of common stock being offered will be filed with the SEC. Before you invest, you should read the prospectus in the registration statement, the preliminary prospectus supplement, and other documents OptimizeRx has filed with the SEC for more complete information about OptimizeRx and the offering. Copies of the registration statement, the preliminary prospectus supplement and accompanying base prospectus may be obtained, when available, on the SEC’s website at http://www.sec.gov or from William Blair &amp; Company, L.L.C., Attention: Prospectus Department, 150 North Riverside Plaza, Chicago, IL 60606; Phone: (800) 621-0687; Email: prospectus@williamblair.com.</w:t>
      </w:r>
    </w:p>
    <w:p>
      <w:pPr>
        <w:spacing w:after="0" w:line="19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This press release shall not constitute an offer to sell or a solicitation of an offer to buy these securities, nor shall there be any sale of these securities in any state or jurisdiction in which such offer, solicitation or sale would be unlawful prior to registration or qualification under the securities laws of any such state or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OptimizeRx</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OptimizeRx® (Nasdaq: OPRX), a digital health company, connects pharmaceutical companies to patients and providers, offering greater affordability, adherence and brand awareness at the point-of-care. As the nation’s largest point-of-prescribe promotional platform for the pharmaceutical industry, OptimizeRx provides a direct channel for pharma companies to communicate with healthcare providers right within their workflow. The cloud-based solution supports patient adherence to medications with real-time access to financial assistance, prior authorization, education and critical clinical information. OptimizeRx provides more than half of the ambulatory patient market with access to these benefits through leading EHR platforms like Allscripts, Amazing Charts and Quest, and directly via its mobile communications platform.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Forward-Looking Statements</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Certain information contained in this press release includes “forward-looking statements” within the meaning of The Private Securities Litigation Reform Act of 1995, including statements related to the proposed public offering, the filing of the registration statement and the expected use of the net proceeds from the offering. We may, in some cases use terms such as “expects,” “plans,” “will” or other words that convey uncertainty of the future events or outcomes to identify these forward-looking statements. Our forward-looking statements are based on current expectations that involve risks, potential changes in circumstances, assumptions and uncertainties. Any or all of the forward-looking statements may turn out to be wrong, or be affected by inaccurate assumptions we might make or by known or unknown risks and uncertainties as a result of various important factors, including the uncertainties related to market conditions and the completion of the public offering on the anticipated terms, or at all. For a further description of the risks and uncertainties that could cause actual results to differ from those expressed in these forward-looking statements, as well as risks relating to our business in general, please refer to our prospectus supplement to be filed with the Securities and Exchange Commission (SEC) on June 4, 2019 under the heading “Risk Factors” and those documents incorporated by reference therein, which includes our Annual Report on Form 10-K filed with the SEC on March 12, 2019. You are cautioned not to place undue reliance on these forward-looking statements, which are made only as of the date of this press release. We undertake no obligation to publicly update such forward-looking statements to reflect subsequent events or circumstances.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Nicole Brooks, Innsena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(860) 800-2344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nicolebrooks@innsena.com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Ron Both, CMA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(949) 432-7557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oprx@cma.team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2192020</wp:posOffset>
            </wp:positionH>
            <wp:positionV relativeFrom="paragraph">
              <wp:posOffset>148590</wp:posOffset>
            </wp:positionV>
            <wp:extent cx="2872740" cy="8318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72740" cy="831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Announces Pricing of Public Offering of Common Stock</w:t>
      </w:r>
    </w:p>
    <w:p>
      <w:pPr>
        <w:spacing w:after="0" w:line="225" w:lineRule="exact"/>
        <w:rPr>
          <w:sz w:val="20"/>
          <w:szCs w:val="20"/>
          <w:color w:val="auto"/>
        </w:rPr>
      </w:pPr>
    </w:p>
    <w:p>
      <w:pPr>
        <w:ind w:right="100"/>
        <w:spacing w:after="0" w:line="274" w:lineRule="auto"/>
        <w:rPr>
          <w:sz w:val="20"/>
          <w:szCs w:val="20"/>
          <w:color w:val="auto"/>
        </w:rPr>
      </w:pPr>
      <w:r>
        <w:rPr>
          <w:rFonts w:ascii="Arial" w:cs="Arial" w:eastAsia="Arial" w:hAnsi="Arial"/>
          <w:sz w:val="17"/>
          <w:szCs w:val="17"/>
          <w:b w:val="1"/>
          <w:bCs w:val="1"/>
          <w:color w:val="auto"/>
        </w:rPr>
        <w:t xml:space="preserve">ROCHESTER, Mich., June 5, 2019 – </w:t>
      </w:r>
      <w:r>
        <w:rPr>
          <w:rFonts w:ascii="Arial" w:cs="Arial" w:eastAsia="Arial" w:hAnsi="Arial"/>
          <w:sz w:val="17"/>
          <w:szCs w:val="17"/>
          <w:color w:val="auto"/>
        </w:rPr>
        <w:t>OptimizeRx Corporation (Nasdaq: OPRX),</w:t>
      </w:r>
      <w:r>
        <w:rPr>
          <w:rFonts w:ascii="Arial" w:cs="Arial" w:eastAsia="Arial" w:hAnsi="Arial"/>
          <w:sz w:val="17"/>
          <w:szCs w:val="17"/>
          <w:b w:val="1"/>
          <w:bCs w:val="1"/>
          <w:color w:val="auto"/>
        </w:rPr>
        <w:t xml:space="preserve"> </w:t>
      </w:r>
      <w:r>
        <w:rPr>
          <w:rFonts w:ascii="Arial" w:cs="Arial" w:eastAsia="Arial" w:hAnsi="Arial"/>
          <w:sz w:val="17"/>
          <w:szCs w:val="17"/>
          <w:color w:val="auto"/>
          <w:highlight w:val="white"/>
        </w:rPr>
        <w:t>a leading provider of digital health messaging for the pharmaceutical</w:t>
      </w:r>
      <w:r>
        <w:rPr>
          <w:rFonts w:ascii="Arial" w:cs="Arial" w:eastAsia="Arial" w:hAnsi="Arial"/>
          <w:sz w:val="17"/>
          <w:szCs w:val="17"/>
          <w:b w:val="1"/>
          <w:bCs w:val="1"/>
          <w:color w:val="auto"/>
        </w:rPr>
        <w:t xml:space="preserve"> </w:t>
      </w:r>
      <w:r>
        <w:rPr>
          <w:rFonts w:ascii="Arial" w:cs="Arial" w:eastAsia="Arial" w:hAnsi="Arial"/>
          <w:sz w:val="17"/>
          <w:szCs w:val="17"/>
          <w:color w:val="auto"/>
          <w:highlight w:val="white"/>
        </w:rPr>
        <w:t xml:space="preserve">industry, </w:t>
      </w:r>
      <w:r>
        <w:rPr>
          <w:rFonts w:ascii="Arial" w:cs="Arial" w:eastAsia="Arial" w:hAnsi="Arial"/>
          <w:sz w:val="17"/>
          <w:szCs w:val="17"/>
          <w:color w:val="auto"/>
        </w:rPr>
        <w:t>today announced the pricing of the previously announced underwritten public offering of 1,538,500 shares of its common stock, at a public offering</w:t>
      </w:r>
      <w:r>
        <w:rPr>
          <w:rFonts w:ascii="Arial" w:cs="Arial" w:eastAsia="Arial" w:hAnsi="Arial"/>
          <w:sz w:val="17"/>
          <w:szCs w:val="17"/>
          <w:color w:val="auto"/>
          <w:highlight w:val="white"/>
        </w:rPr>
        <w:t xml:space="preserve"> </w:t>
      </w:r>
      <w:r>
        <w:rPr>
          <w:rFonts w:ascii="Arial" w:cs="Arial" w:eastAsia="Arial" w:hAnsi="Arial"/>
          <w:sz w:val="17"/>
          <w:szCs w:val="17"/>
          <w:color w:val="auto"/>
        </w:rPr>
        <w:t>price of $13.00 per share. The gross proceeds to OptimizeRx from the offering, before deducting the underwriting discounts and commissions and estimated offering expenses payable by OptimizeRx, are expected to be approximately $20.0 million. In connection with the offering, OptimizeRx granted the underwriters a 30-day option to purchase up to an additional 230,775 shares of its common stock at the public offering price, less the underwriting discount and commissions. The offering is expected to close on or about June 7, 2019, subject to customary closing conditions.</w:t>
      </w:r>
    </w:p>
    <w:p>
      <w:pPr>
        <w:spacing w:after="0" w:line="178"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net proceeds of the offering will be used for general corporate purposes, which may include future acquisitions. OptimizeRx does not have any immediate arrangements, commitments or understandings regarding any future acquisitions.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William Blair &amp; Company, L.L.C. is acting as sole book-running manager for the offering. B. Riley FBR is acting as lead manager for the offering.</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Roth Capital Partners and Lake Street Capital Markets, LLC are acting as financial advisors for the offering.</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shares of common stock described above are being offered pursuant to a shelf registration statement on Form S-3 (File No. 333-228357) that was originally filed with the Securities and Exchange Commission (the “SEC”) on November 13, 2018 and declared effective by the SEC on December 11, 2018. The offering is being made only by means of a prospectus supplement and the accompanying prospectus. Before you invest, you should read the prospectus in the registration statement, the preliminary prospectus supplement, and other documents OptimizeRx has filed with the SEC for more complete information about OptimizeRx and the offering. Copies of the registration statement, the preliminary prospectus supplement and accompanying base prospectus may be obtained on the SEC’s website at http://www.sec.gov or from William Blair &amp; Company, L.L.C., Attention: Prospectus Department, 150 North Riverside Plaza, Chicago, IL 60606; Phone: (800) 621-0687; Email: prospectus@williamblair.com.</w:t>
      </w:r>
    </w:p>
    <w:p>
      <w:pPr>
        <w:spacing w:after="0" w:line="17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This press release shall not constitute an offer to sell or a solicitation of an offer to buy these securities, nor shall there be any sale of these securities in any state or jurisdiction in which such offer, solicitation or sale would be unlawful prior to registration or qualification under the securities laws of any such state or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About OptimizeRx</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OptimizeRx® (Nasdaq: OPRX), a digital health company, connects pharmaceutical companies to patients and providers, offering greater affordability, adherence and brand awareness at the point-of-care. As the nation’s largest point-of-prescribe promotional platform for the pharmaceutical industry, OptimizeRx provides a direct channel for pharma companies to communicate with healthcare providers right within their workflow. The cloud-based solution supports patient adherence to medications with real-time access to financial assistance, prior authorization, education and critical clinical information. OptimizeRx provides more than half of the ambulatory patient market with access to these benefits through leading EHR platforms like Allscripts, Amazing Charts and Quest, and directly via its mobile communications platform.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Forward-Looking Statements</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Certain information contained in this press release includes “forward-looking statements” within the meaning of The Private Securities Litigation Reform Act of 1995, including statements related to the proposed public offering, the filing of the registration statement and the expected use of the net proceeds from the offering. We may, in some cases use terms such as “expects,” “plans,” “will” or other words that convey uncertainty of the future events or outcomes to identify these forward-looking statements. Our forward-looking statements are based on current expectations that involve risks, potential changes in circumstances, assumptions and uncertainties. Any or all of the forward-looking statements may turn out to be wrong, or be affected by inaccurate assumptions we might make or by known or unknown risks and uncertainties as a result of various important factors, including the uncertainties related to market conditions and the completion of the public offering on the anticipated terms, or at all. For a further description of the risks and uncertainties that could cause actual results to differ from those expressed in these forward-looking statements, as well as risks relating to our business in general, please refer to our prospectus supplement filed with the Securities and Exchange Commission (SEC) on June 4, 2019 under the heading “Risk Factors” and those documents incorporated by reference therein, which includes our Annual Report on Form 10-K filed with the SEC on March 12, 2019. You are cautioned not to place undue reliance on these forward-looking statements, which are made only as of the date of this press release. We undertake no obligation to publicly update such forward-looking statements to reflect subsequent events or circumstances.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Nicole Brooks, Innsena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(860) 800-2344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nicolebrooks@innsena.com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Ron Both, CMA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(949) 432-7557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oprx@cma.team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380"/>
      </w:cols>
      <w:pgMar w:left="240" w:top="904"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2019-12-28T11:37:22Z</dcterms:created>
  <dcterms:modified xsi:type="dcterms:W3CDTF">2019-12-28T11:37:22Z</dcterms:modified>
</cp:coreProperties>
</file>