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3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rPr>
              <w:t>FORM 8-K</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gridSpan w:val="4"/>
          </w:tcPr>
          <w:p>
            <w:pPr>
              <w:jc w:val="center"/>
              <w:ind w:right="1540"/>
              <w:spacing w:after="0"/>
              <w:rPr>
                <w:sz w:val="20"/>
                <w:szCs w:val="20"/>
                <w:color w:val="auto"/>
              </w:rPr>
            </w:pPr>
            <w:r>
              <w:rPr>
                <w:rFonts w:ascii="Arial" w:cs="Arial" w:eastAsia="Arial" w:hAnsi="Arial"/>
                <w:sz w:val="18"/>
                <w:szCs w:val="18"/>
                <w:b w:val="1"/>
                <w:bCs w:val="1"/>
                <w:color w:val="auto"/>
                <w:w w:val="99"/>
              </w:rPr>
              <w:t>CURRENT REPORT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14"/>
        </w:trPr>
        <w:tc>
          <w:tcPr>
            <w:tcW w:w="3160" w:type="dxa"/>
            <w:vAlign w:val="bottom"/>
          </w:tcPr>
          <w:p>
            <w:pPr>
              <w:spacing w:after="0"/>
              <w:rPr>
                <w:sz w:val="24"/>
                <w:szCs w:val="24"/>
                <w:color w:val="auto"/>
              </w:rPr>
            </w:pPr>
          </w:p>
        </w:tc>
        <w:tc>
          <w:tcPr>
            <w:tcW w:w="5000" w:type="dxa"/>
            <w:vAlign w:val="bottom"/>
            <w:gridSpan w:val="7"/>
          </w:tcPr>
          <w:p>
            <w:pPr>
              <w:jc w:val="center"/>
              <w:ind w:left="10"/>
              <w:spacing w:after="0"/>
              <w:rPr>
                <w:sz w:val="20"/>
                <w:szCs w:val="20"/>
                <w:color w:val="auto"/>
              </w:rPr>
            </w:pPr>
            <w:r>
              <w:rPr>
                <w:rFonts w:ascii="Arial" w:cs="Arial" w:eastAsia="Arial" w:hAnsi="Arial"/>
                <w:sz w:val="18"/>
                <w:szCs w:val="18"/>
                <w:b w:val="1"/>
                <w:bCs w:val="1"/>
                <w:color w:val="auto"/>
                <w:w w:val="97"/>
              </w:rPr>
              <w:t>PURSUANT TO SECTION 13 OR 15(d) OF</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4"/>
        </w:trPr>
        <w:tc>
          <w:tcPr>
            <w:tcW w:w="3160" w:type="dxa"/>
            <w:vAlign w:val="bottom"/>
          </w:tcPr>
          <w:p>
            <w:pPr>
              <w:spacing w:after="0"/>
              <w:rPr>
                <w:sz w:val="20"/>
                <w:szCs w:val="20"/>
                <w:color w:val="auto"/>
              </w:rPr>
            </w:pPr>
          </w:p>
        </w:tc>
        <w:tc>
          <w:tcPr>
            <w:tcW w:w="5000" w:type="dxa"/>
            <w:vAlign w:val="bottom"/>
            <w:gridSpan w:val="7"/>
          </w:tcPr>
          <w:p>
            <w:pPr>
              <w:jc w:val="center"/>
              <w:ind w:left="3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32"/>
        </w:trPr>
        <w:tc>
          <w:tcPr>
            <w:tcW w:w="3160" w:type="dxa"/>
            <w:vAlign w:val="bottom"/>
          </w:tcPr>
          <w:p>
            <w:pPr>
              <w:spacing w:after="0"/>
              <w:rPr>
                <w:sz w:val="24"/>
                <w:szCs w:val="24"/>
                <w:color w:val="auto"/>
              </w:rPr>
            </w:pPr>
          </w:p>
        </w:tc>
        <w:tc>
          <w:tcPr>
            <w:tcW w:w="5000" w:type="dxa"/>
            <w:vAlign w:val="bottom"/>
            <w:gridSpan w:val="7"/>
          </w:tcPr>
          <w:p>
            <w:pPr>
              <w:jc w:val="center"/>
              <w:spacing w:after="0"/>
              <w:rPr>
                <w:sz w:val="20"/>
                <w:szCs w:val="20"/>
                <w:color w:val="auto"/>
              </w:rPr>
            </w:pPr>
            <w:r>
              <w:rPr>
                <w:rFonts w:ascii="Arial" w:cs="Arial" w:eastAsia="Arial" w:hAnsi="Arial"/>
                <w:sz w:val="18"/>
                <w:szCs w:val="18"/>
                <w:color w:val="auto"/>
                <w:w w:val="90"/>
              </w:rPr>
              <w:t>Date of Report (Date of earliest event reported): October 24, 2019</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392"/>
        </w:trPr>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237"/>
        </w:trPr>
        <w:tc>
          <w:tcPr>
            <w:tcW w:w="3160" w:type="dxa"/>
            <w:vAlign w:val="bottom"/>
          </w:tcPr>
          <w:p>
            <w:pPr>
              <w:spacing w:after="0"/>
              <w:rPr>
                <w:sz w:val="20"/>
                <w:szCs w:val="20"/>
                <w:color w:val="auto"/>
              </w:rPr>
            </w:pPr>
          </w:p>
        </w:tc>
        <w:tc>
          <w:tcPr>
            <w:tcW w:w="5000" w:type="dxa"/>
            <w:vAlign w:val="bottom"/>
            <w:gridSpan w:val="7"/>
          </w:tcPr>
          <w:p>
            <w:pPr>
              <w:jc w:val="center"/>
              <w:ind w:left="30"/>
              <w:spacing w:after="0"/>
              <w:rPr>
                <w:sz w:val="20"/>
                <w:szCs w:val="20"/>
                <w:color w:val="auto"/>
              </w:rPr>
            </w:pPr>
            <w:r>
              <w:rPr>
                <w:rFonts w:ascii="Arial" w:cs="Arial" w:eastAsia="Arial" w:hAnsi="Arial"/>
                <w:sz w:val="18"/>
                <w:szCs w:val="18"/>
                <w:color w:val="auto"/>
                <w:w w:val="90"/>
              </w:rPr>
              <w:t>(Exact name of registrant as specified in its charter)</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r>
      <w:tr>
        <w:trPr>
          <w:trHeight w:val="453"/>
        </w:trPr>
        <w:tc>
          <w:tcPr>
            <w:tcW w:w="3160" w:type="dxa"/>
            <w:vAlign w:val="bottom"/>
          </w:tcPr>
          <w:p>
            <w:pPr>
              <w:jc w:val="center"/>
              <w:ind w:left="890"/>
              <w:spacing w:after="0"/>
              <w:rPr>
                <w:sz w:val="20"/>
                <w:szCs w:val="20"/>
                <w:color w:val="auto"/>
              </w:rPr>
            </w:pPr>
            <w:r>
              <w:rPr>
                <w:rFonts w:ascii="Arial" w:cs="Arial" w:eastAsia="Arial" w:hAnsi="Arial"/>
                <w:sz w:val="18"/>
                <w:szCs w:val="18"/>
                <w:color w:val="auto"/>
                <w:w w:val="86"/>
              </w:rPr>
              <w:t>Nevada</w:t>
            </w:r>
          </w:p>
        </w:tc>
        <w:tc>
          <w:tcPr>
            <w:tcW w:w="5000" w:type="dxa"/>
            <w:vAlign w:val="bottom"/>
            <w:gridSpan w:val="7"/>
          </w:tcPr>
          <w:p>
            <w:pPr>
              <w:jc w:val="right"/>
              <w:ind w:right="1360"/>
              <w:spacing w:after="0"/>
              <w:rPr>
                <w:sz w:val="20"/>
                <w:szCs w:val="20"/>
                <w:color w:val="auto"/>
              </w:rPr>
            </w:pPr>
            <w:r>
              <w:rPr>
                <w:rFonts w:ascii="Arial" w:cs="Arial" w:eastAsia="Arial" w:hAnsi="Arial"/>
                <w:sz w:val="18"/>
                <w:szCs w:val="18"/>
                <w:color w:val="auto"/>
              </w:rPr>
              <w:t>000-53605</w:t>
            </w:r>
          </w:p>
        </w:tc>
        <w:tc>
          <w:tcPr>
            <w:tcW w:w="3260" w:type="dxa"/>
            <w:vAlign w:val="bottom"/>
            <w:gridSpan w:val="3"/>
          </w:tcPr>
          <w:p>
            <w:pPr>
              <w:jc w:val="center"/>
              <w:ind w:left="450"/>
              <w:spacing w:after="0"/>
              <w:rPr>
                <w:sz w:val="20"/>
                <w:szCs w:val="20"/>
                <w:color w:val="auto"/>
              </w:rPr>
            </w:pPr>
            <w:r>
              <w:rPr>
                <w:rFonts w:ascii="Arial" w:cs="Arial" w:eastAsia="Arial" w:hAnsi="Arial"/>
                <w:sz w:val="18"/>
                <w:szCs w:val="18"/>
                <w:color w:val="auto"/>
                <w:w w:val="91"/>
              </w:rPr>
              <w:t>26-1265381</w:t>
            </w:r>
          </w:p>
        </w:tc>
      </w:tr>
      <w:tr>
        <w:trPr>
          <w:trHeight w:val="202"/>
        </w:trPr>
        <w:tc>
          <w:tcPr>
            <w:tcW w:w="3160" w:type="dxa"/>
            <w:vAlign w:val="bottom"/>
            <w:tcBorders>
              <w:top w:val="single" w:sz="8" w:color="auto"/>
            </w:tcBorders>
          </w:tcPr>
          <w:p>
            <w:pPr>
              <w:jc w:val="center"/>
              <w:ind w:left="850"/>
              <w:spacing w:after="0" w:line="201" w:lineRule="exact"/>
              <w:rPr>
                <w:sz w:val="20"/>
                <w:szCs w:val="20"/>
                <w:color w:val="auto"/>
              </w:rPr>
            </w:pPr>
            <w:r>
              <w:rPr>
                <w:rFonts w:ascii="Arial" w:cs="Arial" w:eastAsia="Arial" w:hAnsi="Arial"/>
                <w:sz w:val="18"/>
                <w:szCs w:val="18"/>
                <w:color w:val="auto"/>
                <w:w w:val="92"/>
              </w:rPr>
              <w:t>(State or other jurisdiction</w:t>
            </w: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340" w:type="dxa"/>
            <w:vAlign w:val="bottom"/>
            <w:tcBorders>
              <w:top w:val="single" w:sz="8" w:color="auto"/>
            </w:tcBorders>
            <w:gridSpan w:val="4"/>
          </w:tcPr>
          <w:p>
            <w:pPr>
              <w:jc w:val="center"/>
              <w:ind w:right="140"/>
              <w:spacing w:after="0" w:line="201" w:lineRule="exact"/>
              <w:rPr>
                <w:sz w:val="20"/>
                <w:szCs w:val="20"/>
                <w:color w:val="auto"/>
              </w:rPr>
            </w:pPr>
            <w:r>
              <w:rPr>
                <w:rFonts w:ascii="Arial" w:cs="Arial" w:eastAsia="Arial" w:hAnsi="Arial"/>
                <w:sz w:val="18"/>
                <w:szCs w:val="18"/>
                <w:color w:val="auto"/>
                <w:w w:val="93"/>
              </w:rPr>
              <w:t>(Commission File Number)</w:t>
            </w: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3160" w:type="dxa"/>
            <w:vAlign w:val="bottom"/>
          </w:tcPr>
          <w:p>
            <w:pPr>
              <w:jc w:val="center"/>
              <w:ind w:left="890"/>
              <w:spacing w:after="0"/>
              <w:rPr>
                <w:sz w:val="20"/>
                <w:szCs w:val="20"/>
                <w:color w:val="auto"/>
              </w:rPr>
            </w:pPr>
            <w:r>
              <w:rPr>
                <w:rFonts w:ascii="Arial" w:cs="Arial" w:eastAsia="Arial" w:hAnsi="Arial"/>
                <w:sz w:val="18"/>
                <w:szCs w:val="18"/>
                <w:color w:val="auto"/>
                <w:w w:val="93"/>
              </w:rPr>
              <w:t>of incorporation)</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160" w:type="dxa"/>
            <w:vAlign w:val="bottom"/>
            <w:gridSpan w:val="8"/>
          </w:tcPr>
          <w:p>
            <w:pPr>
              <w:jc w:val="center"/>
              <w:ind w:right="2540"/>
              <w:spacing w:after="0"/>
              <w:rPr>
                <w:sz w:val="20"/>
                <w:szCs w:val="20"/>
                <w:color w:val="auto"/>
              </w:rPr>
            </w:pPr>
            <w:r>
              <w:rPr>
                <w:rFonts w:ascii="Arial" w:cs="Arial" w:eastAsia="Arial" w:hAnsi="Arial"/>
                <w:sz w:val="18"/>
                <w:szCs w:val="18"/>
                <w:color w:val="auto"/>
                <w:w w:val="90"/>
              </w:rPr>
              <w:t>400 Water Street, Suite 200, Rochester, MI</w:t>
            </w:r>
          </w:p>
        </w:tc>
        <w:tc>
          <w:tcPr>
            <w:tcW w:w="3260" w:type="dxa"/>
            <w:vAlign w:val="bottom"/>
            <w:gridSpan w:val="3"/>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c>
          <w:tcPr>
            <w:tcW w:w="3260" w:type="dxa"/>
            <w:vAlign w:val="bottom"/>
            <w:tcBorders>
              <w:top w:val="single" w:sz="8" w:color="auto"/>
            </w:tcBorders>
            <w:gridSpan w:val="3"/>
          </w:tcPr>
          <w:p>
            <w:pPr>
              <w:jc w:val="center"/>
              <w:ind w:right="225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289560</wp:posOffset>
            </wp:positionV>
            <wp:extent cx="36277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080" w:type="dxa"/>
            <w:vAlign w:val="bottom"/>
            <w:gridSpan w:val="5"/>
          </w:tcPr>
          <w:p>
            <w:pPr>
              <w:spacing w:after="0"/>
              <w:rPr>
                <w:sz w:val="20"/>
                <w:szCs w:val="20"/>
                <w:color w:val="auto"/>
              </w:rPr>
            </w:pPr>
            <w:r>
              <w:rPr>
                <w:rFonts w:ascii="Arial" w:cs="Arial" w:eastAsia="Arial" w:hAnsi="Arial"/>
                <w:sz w:val="18"/>
                <w:szCs w:val="18"/>
                <w:color w:val="auto"/>
                <w:w w:val="93"/>
              </w:rPr>
              <w:t>revised financial accounting standards provided pursuant to Section 13(a) of the Exchange Act.</w:t>
            </w:r>
          </w:p>
        </w:tc>
        <w:tc>
          <w:tcPr>
            <w:tcW w:w="43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400" w:type="dxa"/>
            <w:vAlign w:val="bottom"/>
            <w:gridSpan w:val="3"/>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tcPr>
          <w:p>
            <w:pPr>
              <w:spacing w:after="0"/>
              <w:rPr>
                <w:sz w:val="24"/>
                <w:szCs w:val="24"/>
                <w:color w:val="auto"/>
              </w:rPr>
            </w:pPr>
          </w:p>
        </w:tc>
      </w:tr>
      <w:tr>
        <w:trPr>
          <w:trHeight w:val="459"/>
        </w:trPr>
        <w:tc>
          <w:tcPr>
            <w:tcW w:w="440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0"/>
              </w:rPr>
              <w:t>Trading symbol</w:t>
            </w:r>
          </w:p>
        </w:tc>
        <w:tc>
          <w:tcPr>
            <w:tcW w:w="43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0"/>
        </w:trPr>
        <w:tc>
          <w:tcPr>
            <w:tcW w:w="3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4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r>
      <w:tr>
        <w:trPr>
          <w:trHeight w:val="28"/>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642"/>
        </w:trPr>
        <w:tc>
          <w:tcPr>
            <w:tcW w:w="3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October 24, 2019, we issued a press release concerning our invitation to participate in two investor conferences being held in November of this year. A copy of the press release is attached as Exhibit 99.1 to this Current Report on Form 8-K.</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October 24,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864" w:right="3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2019</w:t>
      </w: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64"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2380615</wp:posOffset>
            </wp:positionH>
            <wp:positionV relativeFrom="paragraph">
              <wp:posOffset>148590</wp:posOffset>
            </wp:positionV>
            <wp:extent cx="2546985" cy="6000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46985"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OptimizeRx to Participate at Investor Conferences in November</w:t>
      </w:r>
    </w:p>
    <w:p>
      <w:pPr>
        <w:spacing w:after="0" w:line="236" w:lineRule="exact"/>
        <w:rPr>
          <w:sz w:val="20"/>
          <w:szCs w:val="20"/>
          <w:color w:val="auto"/>
        </w:rPr>
      </w:pPr>
    </w:p>
    <w:p>
      <w:pPr>
        <w:jc w:val="both"/>
        <w:ind w:right="580"/>
        <w:spacing w:after="0" w:line="347" w:lineRule="auto"/>
        <w:rPr>
          <w:sz w:val="20"/>
          <w:szCs w:val="20"/>
          <w:color w:val="auto"/>
        </w:rPr>
      </w:pPr>
      <w:r>
        <w:rPr>
          <w:rFonts w:ascii="Arial" w:cs="Arial" w:eastAsia="Arial" w:hAnsi="Arial"/>
          <w:sz w:val="16"/>
          <w:szCs w:val="16"/>
          <w:b w:val="1"/>
          <w:bCs w:val="1"/>
          <w:color w:val="auto"/>
        </w:rPr>
        <w:t xml:space="preserve">ROCHESTER, Mich. – October 24, 2019 – </w:t>
      </w:r>
      <w:r>
        <w:rPr>
          <w:rFonts w:ascii="Arial" w:cs="Arial" w:eastAsia="Arial" w:hAnsi="Arial"/>
          <w:sz w:val="16"/>
          <w:szCs w:val="16"/>
          <w:color w:val="auto"/>
        </w:rPr>
        <w:t>OptimizeRx Corp. (NASDAQ: OPRX), a leading provider of digital health solutions for pharmaceutical</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payers, medtech companies and medical associations, has been invited to participate in two investor conferences being held in November.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Event: Stifel 2019 Midwest One-on-One Growth Conference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The Ritz-Carlton Chicago Hotel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Format: 1x1 meetings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your Stifel institutional sales representative for registration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Event: ROTH Technology &amp; New Industrials Day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13, 2019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 Lotte New York Palace Hotel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Format: 1x1 and small group meetings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Please contact your ROTH institutional sales representative for registration information.</w:t>
      </w:r>
    </w:p>
    <w:p>
      <w:pPr>
        <w:spacing w:after="0" w:line="21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OptimizeRx CEO William Febbo is scheduled to participate in one-on-one meetings with institutional investors and analysts at both conferences. He will discuss OptimizeRx’s recently announced exclusive partnership with NewCrop, a provider of integrated electronic prescribing software. He will also share insight on the company’s latest acquisition of a powerful digital therapeutics SaaS platform, RMDY Health, used by pharma, payers, medtech companies and medical associations worldwide.</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schedule a one-on-one meeting with OptimizeRx, you may submit your request via the links provided upon your registration for the conferences. For any questions about OptimizeRx, please contact Ron Both of CMA at (949) 432-7557 or submit your request here.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Stifel</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Stifel Financial Corp. is a financial services holding company headquartered in St. Louis, Missouri, that conducts its banking, securities, and financial services business through several wholly owned subsidiaries. Stifel’s broker-dealer clients are served in the United States through Stifel, Nicolaus &amp; Company, Incorporated, including its Eaton Partners business division; Keefe, Bruyette &amp; Woods, Inc.; Miller Buckfire &amp; Co., LLC; Century Securities Associates, Inc., and in the United Kingdom and Europe through Stifel Nicolaus Europe Limited. The company’s broker-dealer affiliates provide securities brokerage, investment banking, trading, investment advisory, and related financial services to individual investors, professional money managers, businesses, and municipalities. Stifel Bank and Stifel Bank &amp; Trust offer a full range of consumer and commercial lending solutions. Stifel Trust Company, N.A. and Stifel Trust Company Delaware, N.A. offer trust and related services. To learn more about Stifel, please visit the Company’s website at www.stifel.com.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About ROTH Capital Partners</w:t>
      </w:r>
    </w:p>
    <w:p>
      <w:pPr>
        <w:spacing w:after="0" w:line="229"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ROTH Capital Partners, LLC (ROTH), is a relationship-driven investment bank focused on serving emerging growth companies and their investors. As a full-service investment bank, ROTH provides capital raising, M&amp;A advisory, analytical research, trading, market-making services and corporate</w:t>
      </w:r>
    </w:p>
    <w:p>
      <w:pPr>
        <w:ind w:right="20"/>
        <w:spacing w:after="0" w:line="261" w:lineRule="auto"/>
        <w:rPr>
          <w:sz w:val="20"/>
          <w:szCs w:val="20"/>
          <w:color w:val="auto"/>
        </w:rPr>
      </w:pPr>
      <w:r>
        <w:rPr>
          <w:rFonts w:ascii="Arial" w:cs="Arial" w:eastAsia="Arial" w:hAnsi="Arial"/>
          <w:sz w:val="18"/>
          <w:szCs w:val="18"/>
          <w:color w:val="auto"/>
        </w:rPr>
        <w:t>access. Headquartered in Newport Beach, CA, ROTH is privately-held and employee owned, and maintains offices throughout the U.S. For more information on ROTH, please visit www.roth.com.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OptimizeRx® (NASDAQ: OPRX), a digital health company, connects pharmaceutical companies to patients and providers, offering greater affordability, adherence and brand awareness at the point-of-care. As the nation’s largest digital platform connecting life sciences to the point-of-care, OptimizeRx provides a direct channel for payers, medtech companies, medical associations and pharma companies to communicate with healthcare providers right within their workflow and also directly to patients.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cloud-based solution supports patient adherence to medications and better healthcare outcomes with real-time access to financial assistance, prior authorization, education and critical clinical information. OptimizeRx provides more than half of the ambulatory patient market with access to these benefits through leading EHR platforms like Allscripts, Amazing Charts and Quest, and directly via its mobile communications platform and digital therapeutics SaaS platform.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follow the company on Twitter, LinkedIn or visit www.OptimizeRx.com.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2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Nicole Brooks, Innsena Communications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(860) 800-2344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oprx@innsena.com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00"/>
      </w:cols>
      <w:pgMar w:left="240" w:top="86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2019-12-28T04:52:29Z</dcterms:created>
  <dcterms:modified xsi:type="dcterms:W3CDTF">2019-12-28T04:52:29Z</dcterms:modified>
</cp:coreProperties>
</file>