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ind w:left="3920" w:right="2320" w:hanging="1592"/>
        <w:spacing w:after="0" w:line="481" w:lineRule="auto"/>
        <w:tabs>
          <w:tab w:leader="none" w:pos="25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2022</w:t>
      </w:r>
    </w:p>
    <w:p>
      <w:pPr>
        <w:spacing w:after="0" w:line="34" w:lineRule="exact"/>
        <w:rPr>
          <w:rFonts w:ascii="MS PGothic" w:cs="MS PGothic" w:eastAsia="MS PGothic" w:hAnsi="MS PGothic"/>
          <w:sz w:val="18"/>
          <w:szCs w:val="18"/>
          <w:color w:val="auto"/>
        </w:rPr>
      </w:pPr>
    </w:p>
    <w:p>
      <w:pPr>
        <w:ind w:left="2800" w:hanging="202"/>
        <w:spacing w:after="0"/>
        <w:tabs>
          <w:tab w:leader="none" w:pos="28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1"/>
              </w:rPr>
              <w:t>For the transition period from __________ to __________</w:t>
            </w:r>
          </w:p>
        </w:tc>
        <w:tc>
          <w:tcPr>
            <w:tcW w:w="3460" w:type="dxa"/>
            <w:vAlign w:val="bottom"/>
          </w:tcPr>
          <w:p>
            <w:pPr>
              <w:spacing w:after="0"/>
              <w:rPr>
                <w:sz w:val="20"/>
                <w:szCs w:val="20"/>
                <w:color w:val="auto"/>
              </w:rPr>
            </w:pPr>
          </w:p>
        </w:tc>
      </w:tr>
      <w:tr>
        <w:trPr>
          <w:trHeight w:val="391"/>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460" w:type="dxa"/>
            <w:vAlign w:val="bottom"/>
          </w:tcPr>
          <w:p>
            <w:pPr>
              <w:spacing w:after="0"/>
              <w:rPr>
                <w:sz w:val="24"/>
                <w:szCs w:val="24"/>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180" w:type="dxa"/>
            <w:vAlign w:val="bottom"/>
            <w:gridSpan w:val="2"/>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7780" w:type="dxa"/>
            <w:vAlign w:val="bottom"/>
            <w:gridSpan w:val="13"/>
          </w:tcPr>
          <w:p>
            <w:pPr>
              <w:jc w:val="center"/>
              <w:ind w:left="337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452"/>
        </w:trPr>
        <w:tc>
          <w:tcPr>
            <w:tcW w:w="7780" w:type="dxa"/>
            <w:vAlign w:val="bottom"/>
            <w:gridSpan w:val="13"/>
          </w:tcPr>
          <w:p>
            <w:pPr>
              <w:jc w:val="center"/>
              <w:ind w:right="2240"/>
              <w:spacing w:after="0"/>
              <w:rPr>
                <w:sz w:val="20"/>
                <w:szCs w:val="20"/>
                <w:color w:val="auto"/>
              </w:rPr>
            </w:pPr>
            <w:r>
              <w:rPr>
                <w:rFonts w:ascii="Arial" w:cs="Arial" w:eastAsia="Arial" w:hAnsi="Arial"/>
                <w:sz w:val="18"/>
                <w:szCs w:val="18"/>
                <w:b w:val="1"/>
                <w:bCs w:val="1"/>
                <w:color w:val="auto"/>
                <w:w w:val="90"/>
              </w:rPr>
              <w:t>Nevada</w:t>
            </w:r>
          </w:p>
        </w:tc>
        <w:tc>
          <w:tcPr>
            <w:tcW w:w="3460" w:type="dxa"/>
            <w:vAlign w:val="bottom"/>
          </w:tcPr>
          <w:p>
            <w:pPr>
              <w:jc w:val="center"/>
              <w:ind w:right="195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right="19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13"/>
          </w:tcPr>
          <w:p>
            <w:pPr>
              <w:jc w:val="center"/>
              <w:ind w:right="226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19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13"/>
          </w:tcPr>
          <w:p>
            <w:pPr>
              <w:jc w:val="center"/>
              <w:ind w:left="3370"/>
              <w:spacing w:after="0"/>
              <w:rPr>
                <w:sz w:val="20"/>
                <w:szCs w:val="20"/>
                <w:color w:val="auto"/>
              </w:rPr>
            </w:pPr>
            <w:r>
              <w:rPr>
                <w:rFonts w:ascii="Arial" w:cs="Arial" w:eastAsia="Arial" w:hAnsi="Arial"/>
                <w:sz w:val="18"/>
                <w:szCs w:val="18"/>
                <w:b w:val="1"/>
                <w:bCs w:val="1"/>
                <w:color w:val="auto"/>
                <w:w w:val="90"/>
              </w:rPr>
              <w:t>400 Water Street</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Suite 200</w:t>
            </w:r>
          </w:p>
        </w:tc>
        <w:tc>
          <w:tcPr>
            <w:tcW w:w="346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11"/>
          </w:tcPr>
          <w:p>
            <w:pPr>
              <w:jc w:val="center"/>
              <w:ind w:right="1340"/>
              <w:spacing w:after="0" w:line="194" w:lineRule="exact"/>
              <w:rPr>
                <w:sz w:val="20"/>
                <w:szCs w:val="20"/>
                <w:color w:val="auto"/>
              </w:rPr>
            </w:pPr>
            <w:r>
              <w:rPr>
                <w:rFonts w:ascii="Arial" w:cs="Arial" w:eastAsia="Arial" w:hAnsi="Arial"/>
                <w:sz w:val="18"/>
                <w:szCs w:val="18"/>
                <w:b w:val="1"/>
                <w:bCs w:val="1"/>
                <w:color w:val="auto"/>
                <w:w w:val="92"/>
              </w:rPr>
              <w:t>Rochester, MI, 48307</w:t>
            </w:r>
          </w:p>
        </w:tc>
        <w:tc>
          <w:tcPr>
            <w:tcW w:w="3460" w:type="dxa"/>
            <w:vAlign w:val="bottom"/>
          </w:tcPr>
          <w:p>
            <w:pPr>
              <w:spacing w:after="0"/>
              <w:rPr>
                <w:sz w:val="16"/>
                <w:szCs w:val="16"/>
                <w:color w:val="auto"/>
              </w:rPr>
            </w:pPr>
          </w:p>
        </w:tc>
      </w:tr>
      <w:tr>
        <w:trPr>
          <w:trHeight w:val="20"/>
        </w:trPr>
        <w:tc>
          <w:tcPr>
            <w:tcW w:w="48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391"/>
        </w:trPr>
        <w:tc>
          <w:tcPr>
            <w:tcW w:w="6140" w:type="dxa"/>
            <w:vAlign w:val="bottom"/>
            <w:gridSpan w:val="8"/>
          </w:tcPr>
          <w:p>
            <w:pPr>
              <w:jc w:val="center"/>
              <w:ind w:left="5030"/>
              <w:spacing w:after="0"/>
              <w:rPr>
                <w:sz w:val="20"/>
                <w:szCs w:val="20"/>
                <w:color w:val="auto"/>
              </w:rPr>
            </w:pPr>
            <w:r>
              <w:rPr>
                <w:rFonts w:ascii="Arial" w:cs="Arial" w:eastAsia="Arial" w:hAnsi="Arial"/>
                <w:sz w:val="18"/>
                <w:szCs w:val="18"/>
                <w:b w:val="1"/>
                <w:bCs w:val="1"/>
                <w:color w:val="auto"/>
                <w:w w:val="90"/>
              </w:rPr>
              <w:t>248-651-6568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7780" w:type="dxa"/>
            <w:vAlign w:val="bottom"/>
            <w:gridSpan w:val="13"/>
          </w:tcPr>
          <w:p>
            <w:pPr>
              <w:jc w:val="center"/>
              <w:ind w:left="3370"/>
              <w:spacing w:after="0"/>
              <w:rPr>
                <w:sz w:val="20"/>
                <w:szCs w:val="20"/>
                <w:color w:val="auto"/>
              </w:rPr>
            </w:pPr>
            <w:r>
              <w:rPr>
                <w:rFonts w:ascii="Arial" w:cs="Arial" w:eastAsia="Arial" w:hAnsi="Arial"/>
                <w:sz w:val="18"/>
                <w:szCs w:val="18"/>
                <w:color w:val="auto"/>
                <w:w w:val="89"/>
              </w:rPr>
              <w:t>(Registrant’s telephone number, including area code)</w:t>
            </w:r>
          </w:p>
        </w:tc>
        <w:tc>
          <w:tcPr>
            <w:tcW w:w="3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w w:val="95"/>
              </w:rPr>
              <w:t>Securities registered under Section 12(b) of the Exchange Act:</w:t>
            </w: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286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ind w:right="75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51"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Large accelerated filer</w:t>
      </w:r>
    </w:p>
    <w:p>
      <w:pPr>
        <w:spacing w:after="0" w:line="58" w:lineRule="exact"/>
        <w:rPr>
          <w:sz w:val="24"/>
          <w:szCs w:val="24"/>
          <w:color w:val="auto"/>
        </w:rPr>
      </w:pPr>
    </w:p>
    <w:p>
      <w:pPr>
        <w:ind w:left="1140"/>
        <w:spacing w:after="0" w:line="207" w:lineRule="exact"/>
        <w:tabs>
          <w:tab w:leader="none" w:pos="14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58"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p>
    <w:p>
      <w:pPr>
        <w:spacing w:after="0" w:line="9"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Emerging growth company</w:t>
      </w:r>
    </w:p>
    <w:p>
      <w:pPr>
        <w:spacing w:after="0" w:line="200" w:lineRule="exact"/>
        <w:rPr>
          <w:sz w:val="24"/>
          <w:szCs w:val="24"/>
          <w:color w:val="auto"/>
        </w:rPr>
      </w:pPr>
    </w:p>
    <w:p>
      <w:pPr>
        <w:sectPr>
          <w:pgSz w:w="11900" w:h="16838" w:orient="portrait"/>
          <w:cols w:equalWidth="0" w:num="2">
            <w:col w:w="5600" w:space="720"/>
            <w:col w:w="4920"/>
          </w:cols>
          <w:pgMar w:left="320" w:top="517" w:right="339" w:bottom="1440" w:gutter="0" w:footer="0" w:header="0"/>
          <w:type w:val="continuous"/>
        </w:sectPr>
      </w:pPr>
    </w:p>
    <w:p>
      <w:pPr>
        <w:spacing w:after="0" w:line="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18,152,349 common shares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40" w:type="dxa"/>
            <w:vAlign w:val="bottom"/>
            <w:gridSpan w:val="4"/>
          </w:tcPr>
          <w:p>
            <w:pPr>
              <w:jc w:val="center"/>
              <w:ind w:right="4010"/>
              <w:spacing w:after="0"/>
              <w:rPr>
                <w:sz w:val="20"/>
                <w:szCs w:val="20"/>
                <w:color w:val="auto"/>
              </w:rPr>
            </w:pPr>
            <w:r>
              <w:rPr>
                <w:rFonts w:ascii="Arial" w:cs="Arial" w:eastAsia="Arial" w:hAnsi="Arial"/>
                <w:sz w:val="18"/>
                <w:szCs w:val="18"/>
                <w:b w:val="1"/>
                <w:bCs w:val="1"/>
                <w:color w:val="auto"/>
                <w:w w:val="98"/>
              </w:rPr>
              <w:t>TABLE OF CONTENTS</w:t>
            </w:r>
          </w:p>
        </w:tc>
      </w:tr>
      <w:tr>
        <w:trPr>
          <w:trHeight w:val="453"/>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40" w:type="dxa"/>
            <w:vAlign w:val="bottom"/>
            <w:gridSpan w:val="5"/>
            <w:shd w:val="clear" w:color="auto" w:fill="CCEEFF"/>
          </w:tcPr>
          <w:p>
            <w:pPr>
              <w:jc w:val="center"/>
              <w:ind w:right="3990"/>
              <w:spacing w:after="0" w:line="176" w:lineRule="exact"/>
              <w:rPr>
                <w:sz w:val="20"/>
                <w:szCs w:val="20"/>
                <w:color w:val="auto"/>
              </w:rPr>
            </w:pPr>
            <w:r>
              <w:rPr>
                <w:rFonts w:ascii="Arial" w:cs="Arial" w:eastAsia="Arial" w:hAnsi="Arial"/>
                <w:sz w:val="18"/>
                <w:szCs w:val="18"/>
                <w:b w:val="1"/>
                <w:bCs w:val="1"/>
                <w:color w:val="0000EE"/>
              </w:rPr>
              <w:t>PART I – FINANCIAL INFORMATION</w:t>
            </w: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7240" w:type="dxa"/>
            <w:vAlign w:val="bottom"/>
            <w:gridSpan w:val="5"/>
            <w:shd w:val="clear" w:color="auto" w:fill="CCEEFF"/>
          </w:tcPr>
          <w:p>
            <w:pPr>
              <w:jc w:val="center"/>
              <w:ind w:left="5930"/>
              <w:spacing w:after="0" w:line="176" w:lineRule="exact"/>
              <w:rPr>
                <w:sz w:val="20"/>
                <w:szCs w:val="20"/>
                <w:color w:val="auto"/>
              </w:rPr>
            </w:pPr>
            <w:r>
              <w:rPr>
                <w:rFonts w:ascii="Arial" w:cs="Arial" w:eastAsia="Arial" w:hAnsi="Arial"/>
                <w:sz w:val="18"/>
                <w:szCs w:val="18"/>
                <w:color w:val="auto"/>
                <w:w w:val="99"/>
              </w:rPr>
              <w:t>1</w:t>
            </w:r>
          </w:p>
        </w:tc>
      </w:tr>
      <w:tr>
        <w:trPr>
          <w:trHeight w:val="176"/>
        </w:trPr>
        <w:tc>
          <w:tcPr>
            <w:tcW w:w="11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140" w:type="dxa"/>
            <w:vAlign w:val="bottom"/>
            <w:tcBorders>
              <w:top w:val="single" w:sz="8" w:color="CCEEFF"/>
            </w:tcBorders>
            <w:gridSpan w:val="4"/>
          </w:tcPr>
          <w:p>
            <w:pPr>
              <w:jc w:val="center"/>
              <w:ind w:right="4110"/>
              <w:spacing w:after="0" w:line="176" w:lineRule="exact"/>
              <w:rPr>
                <w:sz w:val="20"/>
                <w:szCs w:val="20"/>
                <w:color w:val="auto"/>
              </w:rPr>
            </w:pPr>
            <w:r>
              <w:rPr>
                <w:rFonts w:ascii="Arial" w:cs="Arial" w:eastAsia="Arial" w:hAnsi="Arial"/>
                <w:sz w:val="18"/>
                <w:szCs w:val="18"/>
                <w:b w:val="1"/>
                <w:bCs w:val="1"/>
                <w:color w:val="0000EE"/>
              </w:rPr>
              <w:t>PART II — OTHER INFORMATION</w:t>
            </w:r>
          </w:p>
        </w:tc>
      </w:tr>
      <w:tr>
        <w:trPr>
          <w:trHeight w:val="21"/>
        </w:trPr>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28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7240" w:type="dxa"/>
            <w:vAlign w:val="bottom"/>
            <w:gridSpan w:val="5"/>
            <w:shd w:val="clear" w:color="auto" w:fill="CCEEFF"/>
          </w:tcPr>
          <w:p>
            <w:pPr>
              <w:jc w:val="center"/>
              <w:ind w:left="5930"/>
              <w:spacing w:after="0" w:line="176" w:lineRule="exact"/>
              <w:rPr>
                <w:sz w:val="20"/>
                <w:szCs w:val="20"/>
                <w:color w:val="auto"/>
              </w:rPr>
            </w:pPr>
            <w:r>
              <w:rPr>
                <w:rFonts w:ascii="Arial" w:cs="Arial" w:eastAsia="Arial" w:hAnsi="Arial"/>
                <w:sz w:val="18"/>
                <w:szCs w:val="18"/>
                <w:color w:val="auto"/>
                <w:w w:val="99"/>
              </w:rPr>
              <w:t>2</w:t>
            </w:r>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140" w:type="dxa"/>
            <w:vAlign w:val="bottom"/>
            <w:tcBorders>
              <w:top w:val="single" w:sz="8" w:color="CCEEFF"/>
              <w:bottom w:val="single" w:sz="8" w:color="auto"/>
            </w:tcBorders>
            <w:gridSpan w:val="4"/>
          </w:tcPr>
          <w:p>
            <w:pPr>
              <w:jc w:val="center"/>
              <w:ind w:right="4010"/>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OptimizeRx Corporation is filing this Amendment No. 1 on Form 10-Q/A (“Amendment No. 1”) to its Quarterly Report on Form 10-Q for the period ended March 31, 2022, originally filed with the Securities and Exchange Commission (SEC) on May 9, 2022 (the “Original 10-Q Filing”) to address management’s re-evaluation of disclosure controls and procedures and to reflect the identification of a material weakness. The material weakness did not result in any change to the Company’s consolidated financial statements as set forth in the Original 10-Q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is limited in scope to make the following changes to the Original 10-Q Filing:</w:t>
      </w:r>
    </w:p>
    <w:p>
      <w:pPr>
        <w:spacing w:after="0" w:line="225"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 - Item 4. Controls and Procedures to reflect management’s (i) re-evaluation of our disclosure controls and procedures, and (ii) identification of a material weakness.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II - Item 6. Exhibits to include the following currently dated documents: certifications from the Company’s Chief Executive Officer and Chief Financial Officer as required by Sections 302 and 906 of the Sarbanes Oxley Act of 2002, which certifications are filed herewith as Exhibits 31.1, 31.2, and 32.1.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Amendment No. 1 has not been updated or amended to give effect to any subsequent events beyond those that existed as of the original filing date and should thus be read in conjunction with the Original 10-Q Filing and any of the company’s other filings with the SEC subsequent to the Original 10-Q Filing, together with any amendments to those filings. Other than the filing of the information identified above, this amendment does not modify or update the disclosure in the Original 10-Q Filing in any way. Unless otherwise specified or the context otherwise requires, when used in this Amendment No. 1, the terms “we,” “our,” “us,” “OptimizeRx,” or the “Company” refer to OptimizeRx Corporation and its subsidiaries.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concurrently filing Amendment No. 1 to each of its (i) Annual Report on Form 10-K for the year ended December 31, 2021 and (ii) Quarterly Reports on Form 10-Q for the quarterly periods ended June 30, 2022 and September 30,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Company’s Original 10-Q Filing, 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at the time of the Original 10-Q Filing, our Chief Executive Officer and our Chief Financial Officer concluded that, as of the end of the period covered by this report, our disclosure controls and procedures, as defined in Rule 13a-15(e), were effective at the reasonable assurance level.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filing of the Original 10-Q Filing and in connection with the filing of Amendment No. 1 to the Company’s Annual Report on Form 10-K for the year ended December 31, 2021, the Company’s management identified a material weakness in the Company’s internal control over financial reporting which is summarized below. As a result of its identification of the material weakness, management, under the supervision and with the participation of our Chief Executive Officer and our Chief Financial Officer, re-evaluated our disclosure controls and procedures and concluded such controls were not effective as of March 31, 2022.</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Notwithstanding the material weakness, our management has concluded, based on substantive testing performed, that the Company’s consolidated financial statements included in the Original 10-Q Filing fairly present in all material respects the Company's financial condition, results of operations and cash flows of the Company as of, and for, the periods presented in this report, in conformity with accounting principles generally accepted in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Original 10-Q Filing, our management identified the following material weakness existed as of March 31, 2022: inadequate controls to ensure that data received from third-party service organizations is complete and 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actively engaged in the planning for, and implementation of, remediation efforts to address the material weakness identified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implement the following remediation steps:</w:t>
      </w:r>
    </w:p>
    <w:p>
      <w:pPr>
        <w:spacing w:after="0" w:line="21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require each third-party service organization to provide a SOC-1, Type 2 report to us.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believes the measures described above will remediate the material weakness that we have identified.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 13a-15(f) under the Exchange Act), that occurred during the quarter ended March 31, 2022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0" w:type="dxa"/>
            <w:vAlign w:val="bottom"/>
            <w:gridSpan w:val="3"/>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432"/>
        </w:trPr>
        <w:tc>
          <w:tcPr>
            <w:tcW w:w="1126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r:id="rId15">
              <w:r>
                <w:rPr>
                  <w:rFonts w:ascii="Arial" w:cs="Arial" w:eastAsia="Arial" w:hAnsi="Arial"/>
                  <w:sz w:val="18"/>
                  <w:szCs w:val="18"/>
                  <w:color w:val="0000EE"/>
                  <w:w w:val="92"/>
                </w:rPr>
                <w:t>OptimizeRx Corporation 2022 Cash Bonus Plan. Incorporated by reference to Exhibit 10.1 to the Company’s Current Report on Form 8-K</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filed on March 4,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rFonts w:ascii="Arial" w:cs="Arial" w:eastAsia="Arial" w:hAnsi="Arial"/>
                <w:sz w:val="18"/>
                <w:szCs w:val="18"/>
                <w:color w:val="0000EE"/>
                <w:w w:val="93"/>
              </w:rPr>
            </w:pPr>
            <w:hyperlink r:id="rId16">
              <w:r>
                <w:rPr>
                  <w:rFonts w:ascii="Arial" w:cs="Arial" w:eastAsia="Arial" w:hAnsi="Arial"/>
                  <w:sz w:val="18"/>
                  <w:szCs w:val="18"/>
                  <w:color w:val="0000EE"/>
                  <w:w w:val="93"/>
                </w:rPr>
                <w:t>Amendment to Employment Agreement by and between the Company and Stephen Silvestro dated February 28, 2022.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6"/>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reference to Exhibit 10.2 to the Company’s Current Report on Form 8-K filed on March 4, 2022.</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40" w:type="dxa"/>
            <w:vAlign w:val="bottom"/>
            <w:tcBorders>
              <w:top w:val="single" w:sz="8" w:color="0000EE"/>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Amendment to Employment Agreement by and between the Company and Marion Odence-Ford dated February 28, 2022.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reference to Exhibit 10.3 to the Company’s Current Report on Form 8-K filed on March 4,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440" w:type="dxa"/>
            <w:vAlign w:val="bottom"/>
            <w:tcBorders>
              <w:top w:val="single" w:sz="8" w:color="0000EE"/>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w:t>
            </w:r>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rPr>
              <w:t>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9"/>
              </w:rPr>
              <w:t>of 2002</w:t>
            </w:r>
          </w:p>
        </w:tc>
        <w:tc>
          <w:tcPr>
            <w:tcW w:w="9540" w:type="dxa"/>
            <w:vAlign w:val="bottom"/>
            <w:tcBorders>
              <w:bottom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w:t>
            </w:r>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560" w:firstLine="8"/>
        <w:spacing w:after="0" w:line="511" w:lineRule="auto"/>
        <w:tabs>
          <w:tab w:leader="none" w:pos="1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Provided herewith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March 10, 2023</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March 10, 2023</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Operations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I,</w:t>
        <w:tab/>
        <w:t>William J. Febbo, certify that;</w:t>
      </w:r>
    </w:p>
    <w:p>
      <w:pPr>
        <w:spacing w:after="0" w:line="25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quarter ended March 31, 2022 of OptimizeRx Corp (the “registrant”);</w:t>
      </w:r>
    </w:p>
    <w:p>
      <w:pPr>
        <w:spacing w:after="0" w:line="252" w:lineRule="exact"/>
        <w:rPr>
          <w:rFonts w:ascii="Arial" w:cs="Arial" w:eastAsia="Arial" w:hAnsi="Arial"/>
          <w:sz w:val="18"/>
          <w:szCs w:val="18"/>
          <w:color w:val="auto"/>
        </w:rPr>
      </w:pPr>
    </w:p>
    <w:p>
      <w:pPr>
        <w:jc w:val="both"/>
        <w:ind w:left="360" w:hanging="352"/>
        <w:spacing w:after="0" w:line="263"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360" w:hanging="352"/>
        <w:spacing w:after="0" w:line="263"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720" w:hanging="216"/>
        <w:spacing w:after="0" w:line="263"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720" w:hanging="226"/>
        <w:spacing w:after="0" w:line="263"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720" w:hanging="216"/>
        <w:spacing w:after="0" w:line="308" w:lineRule="auto"/>
        <w:tabs>
          <w:tab w:leader="none" w:pos="72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720" w:hanging="226"/>
        <w:spacing w:after="0" w:line="263"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60" w:hanging="352"/>
        <w:spacing w:after="0" w:line="308"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20" w:hanging="216"/>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720" w:hanging="226"/>
        <w:spacing w:after="0" w:line="277"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Date: March 10, 2023</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I,</w:t>
        <w:tab/>
        <w:t>Edward Stelmakh certify that;</w:t>
      </w:r>
    </w:p>
    <w:p>
      <w:pPr>
        <w:spacing w:after="0" w:line="25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quarter ended March 31, 2022 of OptimizeRx Corp (the “registrant”);</w:t>
      </w:r>
    </w:p>
    <w:p>
      <w:pPr>
        <w:spacing w:after="0" w:line="252" w:lineRule="exact"/>
        <w:rPr>
          <w:rFonts w:ascii="Arial" w:cs="Arial" w:eastAsia="Arial" w:hAnsi="Arial"/>
          <w:sz w:val="18"/>
          <w:szCs w:val="18"/>
          <w:color w:val="auto"/>
        </w:rPr>
      </w:pPr>
    </w:p>
    <w:p>
      <w:pPr>
        <w:jc w:val="both"/>
        <w:ind w:left="360" w:hanging="352"/>
        <w:spacing w:after="0" w:line="263"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360" w:hanging="352"/>
        <w:spacing w:after="0" w:line="263"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720" w:hanging="216"/>
        <w:spacing w:after="0" w:line="263"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720" w:hanging="226"/>
        <w:spacing w:after="0" w:line="263"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720" w:hanging="216"/>
        <w:spacing w:after="0" w:line="308" w:lineRule="auto"/>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20" w:hanging="226"/>
        <w:spacing w:after="0" w:line="263"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60" w:hanging="352"/>
        <w:spacing w:after="0" w:line="308" w:lineRule="auto"/>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720" w:hanging="216"/>
        <w:spacing w:after="0" w:line="277"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20" w:hanging="226"/>
        <w:spacing w:after="0" w:line="277"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By: Edward Stelmakh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10-Q/A for the quarter ended March 31, 2022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8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Febbo</w:t>
            </w:r>
          </w:p>
        </w:tc>
      </w:tr>
      <w:tr>
        <w:trPr>
          <w:trHeight w:val="224"/>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2580" w:type="dxa"/>
            <w:vAlign w:val="bottom"/>
          </w:tcPr>
          <w:p>
            <w:pPr>
              <w:ind w:left="20"/>
              <w:spacing w:after="0"/>
              <w:rPr>
                <w:sz w:val="20"/>
                <w:szCs w:val="20"/>
                <w:color w:val="auto"/>
              </w:rPr>
            </w:pPr>
            <w:r>
              <w:rPr>
                <w:rFonts w:ascii="Arial" w:cs="Arial" w:eastAsia="Arial" w:hAnsi="Arial"/>
                <w:sz w:val="18"/>
                <w:szCs w:val="18"/>
                <w:color w:val="auto"/>
              </w:rPr>
              <w:t>Willian J Febbo</w:t>
            </w:r>
          </w:p>
        </w:tc>
      </w:tr>
      <w:tr>
        <w:trPr>
          <w:trHeight w:val="228"/>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20"/>
              <w:spacing w:after="0"/>
              <w:rPr>
                <w:sz w:val="20"/>
                <w:szCs w:val="20"/>
                <w:color w:val="auto"/>
              </w:rPr>
            </w:pPr>
            <w:r>
              <w:rPr>
                <w:rFonts w:ascii="Arial" w:cs="Arial" w:eastAsia="Arial" w:hAnsi="Arial"/>
                <w:sz w:val="18"/>
                <w:szCs w:val="18"/>
                <w:color w:val="auto"/>
              </w:rPr>
              <w:t>March 10, 2023</w:t>
            </w:r>
          </w:p>
        </w:tc>
      </w:tr>
      <w:tr>
        <w:trPr>
          <w:trHeight w:val="486"/>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Stelmakh</w:t>
            </w:r>
          </w:p>
        </w:tc>
      </w:tr>
      <w:tr>
        <w:trPr>
          <w:trHeight w:val="224"/>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2580" w:type="dxa"/>
            <w:vAlign w:val="bottom"/>
          </w:tcPr>
          <w:p>
            <w:pPr>
              <w:ind w:left="20"/>
              <w:spacing w:after="0"/>
              <w:rPr>
                <w:sz w:val="20"/>
                <w:szCs w:val="20"/>
                <w:color w:val="auto"/>
              </w:rPr>
            </w:pPr>
            <w:r>
              <w:rPr>
                <w:rFonts w:ascii="Arial" w:cs="Arial" w:eastAsia="Arial" w:hAnsi="Arial"/>
                <w:sz w:val="18"/>
                <w:szCs w:val="18"/>
                <w:color w:val="auto"/>
              </w:rPr>
              <w:t>Edward Stelmakh</w:t>
            </w:r>
          </w:p>
        </w:tc>
      </w:tr>
      <w:tr>
        <w:trPr>
          <w:trHeight w:val="228"/>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20"/>
              <w:spacing w:after="0"/>
              <w:rPr>
                <w:sz w:val="20"/>
                <w:szCs w:val="20"/>
                <w:color w:val="auto"/>
              </w:rPr>
            </w:pPr>
            <w:r>
              <w:rPr>
                <w:rFonts w:ascii="Arial" w:cs="Arial" w:eastAsia="Arial" w:hAnsi="Arial"/>
                <w:sz w:val="18"/>
                <w:szCs w:val="18"/>
                <w:color w:val="auto"/>
              </w:rPr>
              <w:t>March 10, 2023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04"/>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5" Type="http://schemas.openxmlformats.org/officeDocument/2006/relationships/hyperlink" Target="http://www.sec.gov/Archives/edgar/data/1448431/000121390022010768/ea156483ex10-1_optimizerx.htm" TargetMode="External"/><Relationship Id="rId16" Type="http://schemas.openxmlformats.org/officeDocument/2006/relationships/hyperlink" Target="http://www.sec.gov/Archives/edgar/data/1448431/000121390022010768/ea156483ex10-2_optimizerx.htm" TargetMode="External"/><Relationship Id="rId17" Type="http://schemas.openxmlformats.org/officeDocument/2006/relationships/hyperlink" Target="http://www.sec.gov/Archives/edgar/data/1448431/000121390022010768/ea156483ex10-3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2023-03-10T22:20:26Z</dcterms:created>
  <dcterms:modified xsi:type="dcterms:W3CDTF">2023-03-10T22:20:26Z</dcterms:modified>
</cp:coreProperties>
</file>