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Silvestro Stephen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7"/>
                <w:szCs w:val="7"/>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8"/>
              </w:rPr>
              <w:t>Common Stock</w:t>
            </w:r>
            <w:r>
              <w:rPr>
                <w:rFonts w:ascii="Times New Roman" w:cs="Times New Roman" w:eastAsia="Times New Roman" w:hAnsi="Times New Roman"/>
                <w:sz w:val="22"/>
                <w:szCs w:val="22"/>
                <w:color w:val="008000"/>
                <w:w w:val="98"/>
                <w:vertAlign w:val="superscript"/>
              </w:rPr>
              <w:t>(1)</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12/23/2025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3,361</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190,507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sold pursuant to a plan of disposition adopted on March 11, 2021 in accordance with Rule 10b5-1 of the Securities Exchange Act of 1934, as amended.</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12/23/2025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46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2025-12-23T17:21:35Z</dcterms:created>
  <dcterms:modified xsi:type="dcterms:W3CDTF">2025-12-23T17:21:35Z</dcterms:modified>
</cp:coreProperties>
</file>