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8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19,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Nevada</w:t>
            </w:r>
          </w:p>
        </w:tc>
        <w:tc>
          <w:tcPr>
            <w:tcW w:w="3020" w:type="dxa"/>
            <w:vAlign w:val="bottom"/>
            <w:gridSpan w:val="3"/>
          </w:tcPr>
          <w:p>
            <w:pPr>
              <w:jc w:val="right"/>
              <w:ind w:right="1440"/>
              <w:spacing w:after="0"/>
              <w:rPr>
                <w:sz w:val="20"/>
                <w:szCs w:val="20"/>
                <w:color w:val="auto"/>
              </w:rPr>
            </w:pPr>
            <w:r>
              <w:rPr>
                <w:rFonts w:ascii="Arial" w:cs="Arial" w:eastAsia="Arial" w:hAnsi="Arial"/>
                <w:sz w:val="18"/>
                <w:szCs w:val="18"/>
                <w:color w:val="auto"/>
              </w:rPr>
              <w:t>000-53605</w:t>
            </w:r>
          </w:p>
        </w:tc>
        <w:tc>
          <w:tcPr>
            <w:tcW w:w="220" w:type="dxa"/>
            <w:vAlign w:val="bottom"/>
          </w:tcPr>
          <w:p>
            <w:pPr>
              <w:spacing w:after="0"/>
              <w:rPr>
                <w:sz w:val="21"/>
                <w:szCs w:val="21"/>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1"/>
              </w:rPr>
              <w:t>26-1265381</w:t>
            </w:r>
          </w:p>
        </w:tc>
      </w:tr>
      <w:tr>
        <w:trPr>
          <w:trHeight w:val="202"/>
        </w:trPr>
        <w:tc>
          <w:tcPr>
            <w:tcW w:w="36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2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40"/>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36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4540" w:type="dxa"/>
            <w:vAlign w:val="bottom"/>
            <w:gridSpan w:val="3"/>
          </w:tcPr>
          <w:p>
            <w:pPr>
              <w:jc w:val="center"/>
              <w:ind w:right="860"/>
              <w:spacing w:after="0"/>
              <w:rPr>
                <w:sz w:val="20"/>
                <w:szCs w:val="20"/>
                <w:color w:val="auto"/>
              </w:rPr>
            </w:pPr>
            <w:r>
              <w:rPr>
                <w:rFonts w:ascii="Arial" w:cs="Arial" w:eastAsia="Arial" w:hAnsi="Arial"/>
                <w:sz w:val="18"/>
                <w:szCs w:val="18"/>
                <w:color w:val="auto"/>
                <w:w w:val="94"/>
              </w:rPr>
              <w:t>incorporation)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53"/>
        </w:trPr>
        <w:tc>
          <w:tcPr>
            <w:tcW w:w="4540" w:type="dxa"/>
            <w:vAlign w:val="bottom"/>
            <w:tcBorders>
              <w:bottom w:val="single" w:sz="8" w:color="auto"/>
            </w:tcBorders>
            <w:gridSpan w:val="3"/>
          </w:tcPr>
          <w:p>
            <w:pPr>
              <w:jc w:val="center"/>
              <w:ind w:left="990"/>
              <w:spacing w:after="0"/>
              <w:rPr>
                <w:sz w:val="20"/>
                <w:szCs w:val="20"/>
                <w:color w:val="auto"/>
              </w:rPr>
            </w:pPr>
            <w:r>
              <w:rPr>
                <w:rFonts w:ascii="Arial" w:cs="Arial" w:eastAsia="Arial" w:hAnsi="Arial"/>
                <w:sz w:val="18"/>
                <w:szCs w:val="18"/>
                <w:color w:val="auto"/>
                <w:w w:val="90"/>
              </w:rPr>
              <w:t>400 Water Street, Suite 200, Rochester, MI</w:t>
            </w:r>
          </w:p>
        </w:tc>
        <w:tc>
          <w:tcPr>
            <w:tcW w:w="10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4540" w:type="dxa"/>
            <w:vAlign w:val="bottom"/>
            <w:gridSpan w:val="3"/>
          </w:tcPr>
          <w:p>
            <w:pPr>
              <w:jc w:val="center"/>
              <w:ind w:left="990"/>
              <w:spacing w:after="0"/>
              <w:rPr>
                <w:sz w:val="20"/>
                <w:szCs w:val="20"/>
                <w:color w:val="auto"/>
              </w:rPr>
            </w:pPr>
            <w:r>
              <w:rPr>
                <w:rFonts w:ascii="Arial" w:cs="Arial" w:eastAsia="Arial" w:hAnsi="Arial"/>
                <w:sz w:val="18"/>
                <w:szCs w:val="18"/>
                <w:color w:val="auto"/>
                <w:w w:val="92"/>
              </w:rPr>
              <w:t>(Address of principal executive offices)</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40" w:type="dxa"/>
            <w:vAlign w:val="bottom"/>
          </w:tcPr>
          <w:p>
            <w:pPr>
              <w:jc w:val="center"/>
              <w:ind w:right="187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25"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7 – Regulation FD Disclosure</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January 12, 2015, we issued a press release announcing that David Harrell, our Chief Executive Officer, will present at the Noble Financial Capital Markets Eleventh Annual Equity Conference at Club Med in Sandpiper Bay, Florida on Monday, January 19, 2015 at 2:30 pm Eastern Standard Time., a copy of which is attached as Exhibit 99.1 to this Current Report on Form 8-K.</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The event was held as scheduled. A video webcast of the presentation and a copy of the presentation materials will be available at </w:t>
      </w:r>
      <w:r>
        <w:rPr>
          <w:rFonts w:ascii="Arial" w:cs="Arial" w:eastAsia="Arial" w:hAnsi="Arial"/>
          <w:sz w:val="18"/>
          <w:szCs w:val="18"/>
          <w:u w:val="single" w:color="auto"/>
          <w:color w:val="auto"/>
        </w:rPr>
        <w:t>http://noble.mediasite.com/mediasite/Play/24fcc7c1d0834f22a3a3aebd32758d4b1d</w:t>
      </w:r>
      <w:r>
        <w:rPr>
          <w:rFonts w:ascii="Arial" w:cs="Arial" w:eastAsia="Arial" w:hAnsi="Arial"/>
          <w:sz w:val="18"/>
          <w:szCs w:val="18"/>
          <w:color w:val="auto"/>
        </w:rPr>
        <w:t xml:space="preserve"> for 90 days following the event, or at the Company’s website which is </w:t>
      </w:r>
      <w:r>
        <w:rPr>
          <w:rFonts w:ascii="Arial" w:cs="Arial" w:eastAsia="Arial" w:hAnsi="Arial"/>
          <w:sz w:val="18"/>
          <w:szCs w:val="18"/>
          <w:u w:val="single" w:color="auto"/>
          <w:color w:val="auto"/>
        </w:rPr>
        <w:t>www.optimizerx.com</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The information in Item 7.01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January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9877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January 19,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20"/>
          </w:cols>
          <w:pgMar w:left="240" w:top="877" w:right="439" w:bottom="1440" w:gutter="0" w:footer="0" w:header="0"/>
        </w:sectPr>
      </w:pPr>
    </w:p>
    <w:bookmarkStart w:id="3" w:name="page4"/>
    <w:bookmarkEnd w:id="3"/>
    <w:p>
      <w:pPr>
        <w:ind w:left="10300"/>
        <w:spacing w:after="0"/>
        <w:rPr>
          <w:sz w:val="20"/>
          <w:szCs w:val="20"/>
          <w:color w:val="auto"/>
        </w:rPr>
      </w:pPr>
      <w:r>
        <w:rPr>
          <w:rFonts w:ascii="Arial" w:cs="Arial" w:eastAsia="Arial" w:hAnsi="Arial"/>
          <w:sz w:val="19"/>
          <w:szCs w:val="19"/>
          <w:b w:val="1"/>
          <w:bCs w:val="1"/>
          <w:color w:val="auto"/>
        </w:rPr>
        <w:t>Exhibit 99.1</w:t>
      </w:r>
    </w:p>
    <w:p>
      <w:pPr>
        <w:spacing w:after="0" w:line="263" w:lineRule="exact"/>
        <w:rPr>
          <w:sz w:val="20"/>
          <w:szCs w:val="20"/>
          <w:color w:val="auto"/>
        </w:rPr>
      </w:pPr>
    </w:p>
    <w:p>
      <w:pPr>
        <w:jc w:val="center"/>
        <w:spacing w:after="0" w:line="267" w:lineRule="auto"/>
        <w:rPr>
          <w:sz w:val="20"/>
          <w:szCs w:val="20"/>
          <w:color w:val="auto"/>
        </w:rPr>
      </w:pPr>
      <w:r>
        <w:rPr>
          <w:rFonts w:ascii="Arial" w:cs="Arial" w:eastAsia="Arial" w:hAnsi="Arial"/>
          <w:sz w:val="32"/>
          <w:szCs w:val="32"/>
          <w:color w:val="auto"/>
        </w:rPr>
        <w:t>OptimizeRx Corporation to Present at Noble Financial Capital Markets Equity Conference</w:t>
      </w:r>
    </w:p>
    <w:p>
      <w:pPr>
        <w:spacing w:after="0" w:line="14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ROCHESTER, MI -- 1/12/15 -- OptimizeRx Corporation (OTCQB: OPRX) today announced that David Harrell, its Chief Executive Officer, will present at the Noble Financial Capital Markets Eleventh Annual Equity Conference at Club Med in Sandpiper Bay, Florida on Monday, January 19, 2015 at 2:30 pm Eastern Standard Time.</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 xml:space="preserve">At the time of the presentation, a live audio and high-definition video webcast of the presentation and a copy of the presentation materials will be available on our website at </w:t>
      </w:r>
      <w:r>
        <w:rPr>
          <w:rFonts w:ascii="Arial" w:cs="Arial" w:eastAsia="Arial" w:hAnsi="Arial"/>
          <w:sz w:val="16"/>
          <w:szCs w:val="16"/>
          <w:u w:val="single" w:color="auto"/>
          <w:color w:val="auto"/>
        </w:rPr>
        <w:t>www.optimizerx.com</w:t>
      </w:r>
      <w:r>
        <w:rPr>
          <w:rFonts w:ascii="Arial" w:cs="Arial" w:eastAsia="Arial" w:hAnsi="Arial"/>
          <w:sz w:val="16"/>
          <w:szCs w:val="16"/>
          <w:color w:val="auto"/>
        </w:rPr>
        <w:t xml:space="preserve">, or through the Noble Financial websites: </w:t>
      </w:r>
      <w:r>
        <w:rPr>
          <w:rFonts w:ascii="Arial" w:cs="Arial" w:eastAsia="Arial" w:hAnsi="Arial"/>
          <w:sz w:val="16"/>
          <w:szCs w:val="16"/>
          <w:u w:val="single" w:color="auto"/>
          <w:color w:val="auto"/>
        </w:rPr>
        <w:t>www.noblefcm.com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www.nobleresearch.com/D2/2015.htm</w:t>
      </w:r>
      <w:r>
        <w:rPr>
          <w:rFonts w:ascii="Arial" w:cs="Arial" w:eastAsia="Arial" w:hAnsi="Arial"/>
          <w:sz w:val="16"/>
          <w:szCs w:val="16"/>
          <w:color w:val="auto"/>
        </w:rPr>
        <w:t>. We recommend registering at least 10 minutes prior to the start of the presentation to ensure timely access. You will require a Microsoft SilverLight viewer (a free download from the presentation link) to participate. The webcast and presentation will also be archived on our website for 90 days following the event.</w:t>
      </w:r>
    </w:p>
    <w:p>
      <w:pPr>
        <w:spacing w:after="0" w:line="15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are excited to again be participating in the Noble Conference to discuss our continued growth and escalation in the emerging electronic co-pay coupon market that we created and are expanding within the $360 Billion U.S. pharmaceutical sector” stated David Harrell.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About OptimizeRx Corp</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 xml:space="preserve">OPTIMIZERx Corp. (OTCQB: OPRX) provides unique consumer and physician platforms to help patients better afford and comply with their medicines and healthcare products, while offering pharmaceutical and healthcare companies more effective ways to expand patient awareness, access and adherence to their medications. For more information, please go to </w:t>
      </w:r>
      <w:r>
        <w:rPr>
          <w:rFonts w:ascii="Arial" w:cs="Arial" w:eastAsia="Arial" w:hAnsi="Arial"/>
          <w:sz w:val="18"/>
          <w:szCs w:val="18"/>
          <w:u w:val="single" w:color="auto"/>
          <w:color w:val="auto"/>
        </w:rPr>
        <w:t>www.optimizerxcorp.com</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www.samplemd.com</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About Noble Financial</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Noble Financial Capital Markets was established in 1984. Noble Financial is an equity research driven, full-service, investment banking boutique focused on life sciences, technology, energy and media, emerging growth, companies. The Company has offices in New York, Boston, Los Angeles, and Boca Raton, FL. In addition to non-deal road shows and sector specific conferences throughout the year, Noble Financial hosts its large format annual equity conference in January in South Florida featuring 120-150 presenting companies from across North America and total attendance close to 600. For more information go to </w:t>
      </w:r>
      <w:r>
        <w:rPr>
          <w:rFonts w:ascii="Arial" w:cs="Arial" w:eastAsia="Arial" w:hAnsi="Arial"/>
          <w:sz w:val="18"/>
          <w:szCs w:val="18"/>
          <w:u w:val="single" w:color="auto"/>
          <w:color w:val="auto"/>
        </w:rPr>
        <w:t>www.noblefcm.com</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403225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'SAFE HARBOR'</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This press release contains forward-looking statements within the definition of Section 27A of the Securities Act of 1933, as amended and such section 21E of the Securities Act of 1934, amended. These forward-looking statements should not be used to make an </w:t>
      </w:r>
      <w:r>
        <w:rPr>
          <w:rFonts w:ascii="Arial" w:cs="Arial" w:eastAsia="Arial" w:hAnsi="Arial"/>
          <w:sz w:val="16"/>
          <w:szCs w:val="16"/>
          <w:u w:val="single" w:color="auto"/>
          <w:color w:val="auto"/>
        </w:rPr>
        <w:t>investment</w:t>
      </w:r>
      <w:r>
        <w:rPr>
          <w:rFonts w:ascii="Arial" w:cs="Arial" w:eastAsia="Arial" w:hAnsi="Arial"/>
          <w:sz w:val="16"/>
          <w:szCs w:val="16"/>
          <w:color w:val="auto"/>
        </w:rPr>
        <w:t xml:space="preserve">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Baker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dbaker@samplemd.com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248-651-6568 x807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380"/>
      </w:cols>
      <w:pgMar w:left="240" w:top="88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2019-12-08T20:58:22Z</dcterms:created>
  <dcterms:modified xsi:type="dcterms:W3CDTF">2019-12-08T20:58:22Z</dcterms:modified>
</cp:coreProperties>
</file>