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23" w:lineRule="exact"/>
        <w:rPr>
          <w:sz w:val="24"/>
          <w:szCs w:val="24"/>
          <w:color w:val="auto"/>
        </w:rPr>
      </w:pPr>
    </w:p>
    <w:p>
      <w:pPr>
        <w:ind w:left="700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June 30, 2012</w:t>
      </w:r>
    </w:p>
    <w:p>
      <w:pPr>
        <w:spacing w:after="0" w:line="9" w:lineRule="exact"/>
        <w:rPr>
          <w:sz w:val="24"/>
          <w:szCs w:val="24"/>
          <w:color w:val="auto"/>
        </w:rPr>
      </w:pPr>
    </w:p>
    <w:p>
      <w:pPr>
        <w:ind w:left="1140"/>
        <w:spacing w:after="0"/>
        <w:tabs>
          <w:tab w:leader="none" w:pos="15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Transition Report pursuant to 13 or 15(d) of the Securities Exchange Act of 1934</w:t>
      </w:r>
    </w:p>
    <w:p>
      <w:pPr>
        <w:spacing w:after="0" w:line="9"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For the transition period from __________ to __________</w:t>
      </w:r>
    </w:p>
    <w:p>
      <w:pPr>
        <w:spacing w:after="0" w:line="9" w:lineRule="exact"/>
        <w:rPr>
          <w:sz w:val="24"/>
          <w:szCs w:val="24"/>
          <w:color w:val="auto"/>
        </w:rPr>
      </w:pPr>
    </w:p>
    <w:p>
      <w:pPr>
        <w:jc w:val="right"/>
        <w:ind w:right="108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080" w:type="dxa"/>
            <w:vAlign w:val="bottom"/>
            <w:gridSpan w:val="5"/>
          </w:tcPr>
          <w:p>
            <w:pPr>
              <w:spacing w:after="0"/>
              <w:rPr>
                <w:sz w:val="17"/>
                <w:szCs w:val="17"/>
                <w:color w:val="auto"/>
              </w:rPr>
            </w:pPr>
          </w:p>
        </w:tc>
        <w:tc>
          <w:tcPr>
            <w:tcW w:w="258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26-1265381</w:t>
            </w:r>
          </w:p>
        </w:tc>
      </w:tr>
      <w:tr>
        <w:trPr>
          <w:trHeight w:val="20"/>
        </w:trPr>
        <w:tc>
          <w:tcPr>
            <w:tcW w:w="1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6520" w:type="dxa"/>
            <w:vAlign w:val="bottom"/>
            <w:gridSpan w:val="7"/>
          </w:tcPr>
          <w:p>
            <w:pPr>
              <w:jc w:val="center"/>
              <w:ind w:right="22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58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89"/>
              </w:rPr>
              <w:t>407 6th Street</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4"/>
        </w:trPr>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340" w:type="dxa"/>
            <w:vAlign w:val="bottom"/>
            <w:gridSpan w:val="4"/>
          </w:tcPr>
          <w:p>
            <w:pPr>
              <w:jc w:val="center"/>
              <w:ind w:right="720"/>
              <w:spacing w:after="0" w:line="194" w:lineRule="exact"/>
              <w:rPr>
                <w:sz w:val="20"/>
                <w:szCs w:val="20"/>
                <w:color w:val="auto"/>
              </w:rPr>
            </w:pPr>
            <w:r>
              <w:rPr>
                <w:rFonts w:ascii="Arial" w:cs="Arial" w:eastAsia="Arial" w:hAnsi="Arial"/>
                <w:sz w:val="18"/>
                <w:szCs w:val="18"/>
                <w:b w:val="1"/>
                <w:bCs w:val="1"/>
                <w:color w:val="auto"/>
                <w:w w:val="90"/>
              </w:rPr>
              <w:t>Rochester, MI, 48307</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80" w:type="dxa"/>
            <w:vAlign w:val="bottom"/>
            <w:gridSpan w:val="5"/>
          </w:tcPr>
          <w:p>
            <w:pPr>
              <w:jc w:val="center"/>
              <w:ind w:left="93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2"/>
        </w:trPr>
        <w:tc>
          <w:tcPr>
            <w:tcW w:w="4480" w:type="dxa"/>
            <w:vAlign w:val="bottom"/>
            <w:gridSpan w:val="4"/>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80" w:type="dxa"/>
            <w:vAlign w:val="bottom"/>
            <w:gridSpan w:val="5"/>
          </w:tcPr>
          <w:p>
            <w:pPr>
              <w:jc w:val="center"/>
              <w:ind w:left="930"/>
              <w:spacing w:after="0"/>
              <w:rPr>
                <w:sz w:val="20"/>
                <w:szCs w:val="20"/>
                <w:color w:val="auto"/>
              </w:rPr>
            </w:pPr>
            <w:r>
              <w:rPr>
                <w:rFonts w:ascii="Arial" w:cs="Arial" w:eastAsia="Arial" w:hAnsi="Arial"/>
                <w:sz w:val="18"/>
                <w:szCs w:val="18"/>
                <w:color w:val="auto"/>
                <w:w w:val="89"/>
              </w:rPr>
              <w:t>(Registrant's telephone number)</w:t>
            </w: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2"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[X] Yes  [ ] No</w:t>
      </w:r>
    </w:p>
    <w:p>
      <w:pPr>
        <w:spacing w:after="0" w:line="2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 ] No [X]</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360"/>
          </w:cols>
          <w:pgMar w:left="240" w:top="233" w:right="299" w:bottom="1440" w:gutter="0" w:footer="0" w:header="0"/>
        </w:sectPr>
      </w:pPr>
    </w:p>
    <w:p>
      <w:pPr>
        <w:spacing w:after="0" w:line="237" w:lineRule="exact"/>
        <w:rPr>
          <w:sz w:val="24"/>
          <w:szCs w:val="24"/>
          <w:color w:val="auto"/>
        </w:rPr>
      </w:pPr>
    </w:p>
    <w:p>
      <w:pPr>
        <w:ind w:right="1920"/>
        <w:spacing w:after="0" w:line="277" w:lineRule="auto"/>
        <w:rPr>
          <w:sz w:val="20"/>
          <w:szCs w:val="20"/>
          <w:color w:val="auto"/>
        </w:rPr>
      </w:pPr>
      <w:r>
        <w:rPr>
          <w:rFonts w:ascii="Arial" w:cs="Arial" w:eastAsia="Arial" w:hAnsi="Arial"/>
          <w:sz w:val="18"/>
          <w:szCs w:val="18"/>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 ] Non-accelerated filer</w:t>
      </w:r>
    </w:p>
    <w:p>
      <w:pPr>
        <w:spacing w:after="0" w:line="463" w:lineRule="exact"/>
        <w:rPr>
          <w:sz w:val="24"/>
          <w:szCs w:val="24"/>
          <w:color w:val="auto"/>
        </w:rPr>
      </w:pPr>
    </w:p>
    <w:p>
      <w:pPr>
        <w:sectPr>
          <w:pgSz w:w="11900" w:h="16838" w:orient="portrait"/>
          <w:cols w:equalWidth="0" w:num="2">
            <w:col w:w="5000" w:space="720"/>
            <w:col w:w="5640"/>
          </w:cols>
          <w:pgMar w:left="240" w:top="233" w:right="29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State the number of shares outstanding of each of the issuer’s classes of common stock, as of the latest practicable date: 14,192,496 as of June 30,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gridSpan w:val="6"/>
          </w:tcPr>
          <w:p>
            <w:pPr>
              <w:ind w:left="20"/>
              <w:spacing w:after="0"/>
              <w:rPr>
                <w:sz w:val="20"/>
                <w:szCs w:val="20"/>
                <w:color w:val="auto"/>
              </w:rPr>
            </w:pPr>
            <w:r>
              <w:rPr>
                <w:rFonts w:ascii="Arial" w:cs="Arial" w:eastAsia="Arial" w:hAnsi="Arial"/>
                <w:sz w:val="18"/>
                <w:szCs w:val="18"/>
                <w:color w:val="auto"/>
              </w:rPr>
              <w:t>TABLE OF CONTENTS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gridSpan w:val="3"/>
          </w:tcPr>
          <w:p>
            <w:pPr>
              <w:jc w:val="center"/>
              <w:ind w:left="470"/>
              <w:spacing w:after="0"/>
              <w:rPr>
                <w:sz w:val="20"/>
                <w:szCs w:val="20"/>
                <w:color w:val="auto"/>
              </w:rPr>
            </w:pPr>
            <w:r>
              <w:rPr>
                <w:rFonts w:ascii="Arial" w:cs="Arial" w:eastAsia="Arial" w:hAnsi="Arial"/>
                <w:sz w:val="18"/>
                <w:szCs w:val="18"/>
                <w:color w:val="auto"/>
                <w:w w:val="85"/>
              </w:rPr>
              <w:t>Page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gridSpan w:val="12"/>
          </w:tcPr>
          <w:p>
            <w:pPr>
              <w:jc w:val="center"/>
              <w:ind w:right="700"/>
              <w:spacing w:after="0"/>
              <w:rPr>
                <w:sz w:val="20"/>
                <w:szCs w:val="20"/>
                <w:color w:val="auto"/>
              </w:rPr>
            </w:pPr>
            <w:r>
              <w:rPr>
                <w:rFonts w:ascii="Arial" w:cs="Arial" w:eastAsia="Arial" w:hAnsi="Arial"/>
                <w:sz w:val="18"/>
                <w:szCs w:val="18"/>
                <w:color w:val="auto"/>
                <w:w w:val="98"/>
              </w:rPr>
              <w:t>PART I – FINANCIAL INFORMATION</w:t>
            </w:r>
          </w:p>
        </w:tc>
        <w:tc>
          <w:tcPr>
            <w:tcW w:w="8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0" w:type="dxa"/>
            <w:vAlign w:val="bottom"/>
            <w:vMerge w:val="restart"/>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00" w:type="dxa"/>
            <w:vAlign w:val="bottom"/>
            <w:vMerge w:val="continue"/>
          </w:tcPr>
          <w:p>
            <w:pPr>
              <w:spacing w:after="0"/>
              <w:rPr>
                <w:sz w:val="17"/>
                <w:szCs w:val="17"/>
                <w:color w:val="auto"/>
              </w:rPr>
            </w:pPr>
          </w:p>
        </w:tc>
        <w:tc>
          <w:tcPr>
            <w:tcW w:w="1040" w:type="dxa"/>
            <w:vAlign w:val="bottom"/>
            <w:tcBorders>
              <w:bottom w:val="single" w:sz="8" w:color="CCEECC"/>
            </w:tcBorders>
            <w:shd w:val="clear" w:color="auto" w:fill="CCEECC"/>
          </w:tcPr>
          <w:p>
            <w:pPr>
              <w:spacing w:after="0" w:line="176" w:lineRule="exact"/>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shd w:val="clear" w:color="auto" w:fill="CCEECC"/>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3340" w:type="dxa"/>
            <w:vAlign w:val="bottom"/>
            <w:tcBorders>
              <w:bottom w:val="single" w:sz="8" w:color="CCEECC"/>
            </w:tcBorders>
            <w:gridSpan w:val="9"/>
            <w:shd w:val="clear" w:color="auto" w:fill="CCEECC"/>
          </w:tcPr>
          <w:p>
            <w:pPr>
              <w:spacing w:after="0"/>
              <w:rPr>
                <w:sz w:val="17"/>
                <w:szCs w:val="17"/>
                <w:color w:val="auto"/>
              </w:rPr>
            </w:pPr>
          </w:p>
        </w:tc>
        <w:tc>
          <w:tcPr>
            <w:tcW w:w="1220" w:type="dxa"/>
            <w:vAlign w:val="bottom"/>
            <w:tcBorders>
              <w:bottom w:val="single" w:sz="8" w:color="CCEECC"/>
            </w:tcBorders>
            <w:gridSpan w:val="2"/>
            <w:shd w:val="clear" w:color="auto" w:fill="CCEECC"/>
          </w:tcPr>
          <w:p>
            <w:pPr>
              <w:jc w:val="center"/>
              <w:ind w:left="770"/>
              <w:spacing w:after="0" w:line="176" w:lineRule="exact"/>
              <w:rPr>
                <w:sz w:val="20"/>
                <w:szCs w:val="20"/>
                <w:color w:val="auto"/>
              </w:rPr>
            </w:pPr>
            <w:r>
              <w:rPr>
                <w:rFonts w:ascii="Arial" w:cs="Arial" w:eastAsia="Arial" w:hAnsi="Arial"/>
                <w:sz w:val="18"/>
                <w:szCs w:val="18"/>
                <w:color w:val="auto"/>
                <w:w w:val="79"/>
              </w:rPr>
              <w:t>2</w:t>
            </w:r>
          </w:p>
        </w:tc>
        <w:tc>
          <w:tcPr>
            <w:tcW w:w="300" w:type="dxa"/>
            <w:vAlign w:val="bottom"/>
            <w:tcBorders>
              <w:bottom w:val="single" w:sz="8" w:color="CCEECC"/>
            </w:tcBorders>
            <w:shd w:val="clear" w:color="auto" w:fill="CCEECC"/>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4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EE"/>
            </w:tcBorders>
            <w:gridSpan w:val="15"/>
          </w:tcPr>
          <w:p>
            <w:pPr>
              <w:spacing w:after="0" w:line="17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Management’s Discussion and Analysis of Financial Condition and</w:t>
              </w:r>
            </w:hyperlink>
          </w:p>
        </w:tc>
        <w:tc>
          <w:tcPr>
            <w:tcW w:w="1220" w:type="dxa"/>
            <w:vAlign w:val="bottom"/>
            <w:gridSpan w:val="2"/>
          </w:tcPr>
          <w:p>
            <w:pPr>
              <w:jc w:val="center"/>
              <w:ind w:left="770"/>
              <w:spacing w:after="0" w:line="176" w:lineRule="exact"/>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60" w:type="dxa"/>
            <w:vAlign w:val="bottom"/>
            <w:gridSpan w:val="1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Results of Operations</w:t>
              </w:r>
            </w:hyperlink>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0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vMerge w:val="continue"/>
          </w:tcPr>
          <w:p>
            <w:pPr>
              <w:spacing w:after="0"/>
              <w:rPr>
                <w:sz w:val="17"/>
                <w:szCs w:val="17"/>
                <w:color w:val="auto"/>
              </w:rPr>
            </w:pPr>
          </w:p>
        </w:tc>
        <w:tc>
          <w:tcPr>
            <w:tcW w:w="1040" w:type="dxa"/>
            <w:vAlign w:val="bottom"/>
            <w:shd w:val="clear" w:color="auto" w:fill="CCEECC"/>
          </w:tcPr>
          <w:p>
            <w:pPr>
              <w:spacing w:after="0" w:line="176" w:lineRule="exact"/>
              <w:rPr>
                <w:sz w:val="20"/>
                <w:szCs w:val="20"/>
                <w:color w:val="auto"/>
              </w:rPr>
            </w:pPr>
            <w:r>
              <w:rPr>
                <w:rFonts w:ascii="Arial" w:cs="Arial" w:eastAsia="Arial" w:hAnsi="Arial"/>
                <w:sz w:val="18"/>
                <w:szCs w:val="18"/>
                <w:color w:val="auto"/>
              </w:rPr>
              <w:t>Item 3:</w:t>
            </w:r>
          </w:p>
        </w:tc>
        <w:tc>
          <w:tcPr>
            <w:tcW w:w="4860" w:type="dxa"/>
            <w:vAlign w:val="bottom"/>
            <w:gridSpan w:val="15"/>
            <w:shd w:val="clear" w:color="auto" w:fill="CCEECC"/>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1220" w:type="dxa"/>
            <w:vAlign w:val="bottom"/>
            <w:gridSpan w:val="2"/>
            <w:shd w:val="clear" w:color="auto" w:fill="CCEECC"/>
          </w:tcPr>
          <w:p>
            <w:pPr>
              <w:jc w:val="center"/>
              <w:ind w:left="770"/>
              <w:spacing w:after="0" w:line="176" w:lineRule="exact"/>
              <w:rPr>
                <w:sz w:val="20"/>
                <w:szCs w:val="20"/>
                <w:color w:val="auto"/>
              </w:rPr>
            </w:pPr>
            <w:r>
              <w:rPr>
                <w:rFonts w:ascii="Arial" w:cs="Arial" w:eastAsia="Arial" w:hAnsi="Arial"/>
                <w:sz w:val="18"/>
                <w:szCs w:val="18"/>
                <w:color w:val="auto"/>
                <w:w w:val="79"/>
              </w:rPr>
              <w:t>8</w:t>
            </w:r>
          </w:p>
        </w:tc>
        <w:tc>
          <w:tcPr>
            <w:tcW w:w="300" w:type="dxa"/>
            <w:vAlign w:val="bottom"/>
            <w:shd w:val="clear" w:color="auto" w:fill="CCEECC"/>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40" w:type="dxa"/>
            <w:vAlign w:val="bottom"/>
            <w:tcBorders>
              <w:top w:val="single" w:sz="8" w:color="CCEECC"/>
            </w:tcBorders>
          </w:tcPr>
          <w:p>
            <w:pPr>
              <w:spacing w:after="0" w:line="176" w:lineRule="exact"/>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500" w:type="dxa"/>
            <w:vAlign w:val="bottom"/>
            <w:tcBorders>
              <w:top w:val="single" w:sz="8" w:color="CCEECC"/>
            </w:tcBorders>
          </w:tcPr>
          <w:p>
            <w:pPr>
              <w:spacing w:after="0"/>
              <w:rPr>
                <w:sz w:val="15"/>
                <w:szCs w:val="15"/>
                <w:color w:val="auto"/>
              </w:rPr>
            </w:pPr>
          </w:p>
        </w:tc>
        <w:tc>
          <w:tcPr>
            <w:tcW w:w="1220" w:type="dxa"/>
            <w:vAlign w:val="bottom"/>
            <w:tcBorders>
              <w:top w:val="single" w:sz="8" w:color="CCEECC"/>
            </w:tcBorders>
            <w:gridSpan w:val="2"/>
          </w:tcPr>
          <w:p>
            <w:pPr>
              <w:jc w:val="center"/>
              <w:ind w:left="770"/>
              <w:spacing w:after="0" w:line="176" w:lineRule="exact"/>
              <w:rPr>
                <w:sz w:val="20"/>
                <w:szCs w:val="20"/>
                <w:color w:val="auto"/>
              </w:rPr>
            </w:pPr>
            <w:r>
              <w:rPr>
                <w:rFonts w:ascii="Arial" w:cs="Arial" w:eastAsia="Arial" w:hAnsi="Arial"/>
                <w:sz w:val="18"/>
                <w:szCs w:val="18"/>
                <w:color w:val="auto"/>
                <w:w w:val="79"/>
              </w:rPr>
              <w:t>8</w:t>
            </w:r>
          </w:p>
        </w:tc>
        <w:tc>
          <w:tcPr>
            <w:tcW w:w="300" w:type="dxa"/>
            <w:vAlign w:val="bottom"/>
            <w:tcBorders>
              <w:top w:val="single" w:sz="8" w:color="CCEECC"/>
            </w:tcBorders>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00" w:type="dxa"/>
            <w:vAlign w:val="bottom"/>
          </w:tcPr>
          <w:p>
            <w:pPr>
              <w:spacing w:after="0"/>
              <w:rPr>
                <w:sz w:val="24"/>
                <w:szCs w:val="24"/>
                <w:color w:val="auto"/>
              </w:rPr>
            </w:pPr>
          </w:p>
        </w:tc>
        <w:tc>
          <w:tcPr>
            <w:tcW w:w="1040" w:type="dxa"/>
            <w:vAlign w:val="bottom"/>
            <w:shd w:val="clear" w:color="auto" w:fill="CCEECC"/>
          </w:tcPr>
          <w:p>
            <w:pPr>
              <w:spacing w:after="0"/>
              <w:rPr>
                <w:sz w:val="24"/>
                <w:szCs w:val="24"/>
                <w:color w:val="auto"/>
              </w:rPr>
            </w:pPr>
          </w:p>
        </w:tc>
        <w:tc>
          <w:tcPr>
            <w:tcW w:w="600" w:type="dxa"/>
            <w:vAlign w:val="bottom"/>
            <w:shd w:val="clear" w:color="auto" w:fill="CCEECC"/>
          </w:tcPr>
          <w:p>
            <w:pPr>
              <w:spacing w:after="0"/>
              <w:rPr>
                <w:sz w:val="24"/>
                <w:szCs w:val="24"/>
                <w:color w:val="auto"/>
              </w:rPr>
            </w:pPr>
          </w:p>
        </w:tc>
        <w:tc>
          <w:tcPr>
            <w:tcW w:w="320" w:type="dxa"/>
            <w:vAlign w:val="bottom"/>
            <w:shd w:val="clear" w:color="auto" w:fill="CCEECC"/>
          </w:tcPr>
          <w:p>
            <w:pPr>
              <w:spacing w:after="0"/>
              <w:rPr>
                <w:sz w:val="24"/>
                <w:szCs w:val="24"/>
                <w:color w:val="auto"/>
              </w:rPr>
            </w:pPr>
          </w:p>
        </w:tc>
        <w:tc>
          <w:tcPr>
            <w:tcW w:w="260" w:type="dxa"/>
            <w:vAlign w:val="bottom"/>
            <w:shd w:val="clear" w:color="auto" w:fill="CCEECC"/>
          </w:tcPr>
          <w:p>
            <w:pPr>
              <w:spacing w:after="0"/>
              <w:rPr>
                <w:sz w:val="24"/>
                <w:szCs w:val="24"/>
                <w:color w:val="auto"/>
              </w:rPr>
            </w:pPr>
          </w:p>
        </w:tc>
        <w:tc>
          <w:tcPr>
            <w:tcW w:w="140" w:type="dxa"/>
            <w:vAlign w:val="bottom"/>
            <w:shd w:val="clear" w:color="auto" w:fill="CCEECC"/>
          </w:tcPr>
          <w:p>
            <w:pPr>
              <w:spacing w:after="0"/>
              <w:rPr>
                <w:sz w:val="24"/>
                <w:szCs w:val="24"/>
                <w:color w:val="auto"/>
              </w:rPr>
            </w:pPr>
          </w:p>
        </w:tc>
        <w:tc>
          <w:tcPr>
            <w:tcW w:w="20" w:type="dxa"/>
            <w:vAlign w:val="bottom"/>
            <w:shd w:val="clear" w:color="auto" w:fill="CCEECC"/>
          </w:tcPr>
          <w:p>
            <w:pPr>
              <w:spacing w:after="0"/>
              <w:rPr>
                <w:sz w:val="24"/>
                <w:szCs w:val="24"/>
                <w:color w:val="auto"/>
              </w:rPr>
            </w:pPr>
          </w:p>
        </w:tc>
        <w:tc>
          <w:tcPr>
            <w:tcW w:w="3520" w:type="dxa"/>
            <w:vAlign w:val="bottom"/>
            <w:gridSpan w:val="10"/>
            <w:shd w:val="clear" w:color="auto" w:fill="CCEECC"/>
          </w:tcPr>
          <w:p>
            <w:pPr>
              <w:jc w:val="center"/>
              <w:ind w:right="860"/>
              <w:spacing w:after="0"/>
              <w:rPr>
                <w:sz w:val="20"/>
                <w:szCs w:val="20"/>
                <w:color w:val="auto"/>
              </w:rPr>
            </w:pPr>
            <w:r>
              <w:rPr>
                <w:rFonts w:ascii="Arial" w:cs="Arial" w:eastAsia="Arial" w:hAnsi="Arial"/>
                <w:sz w:val="18"/>
                <w:szCs w:val="18"/>
                <w:color w:val="auto"/>
                <w:w w:val="95"/>
              </w:rPr>
              <w:t>PART II – OTHER INFORMATION</w:t>
            </w:r>
          </w:p>
        </w:tc>
        <w:tc>
          <w:tcPr>
            <w:tcW w:w="860" w:type="dxa"/>
            <w:vAlign w:val="bottom"/>
            <w:shd w:val="clear" w:color="auto" w:fill="CCEECC"/>
          </w:tcPr>
          <w:p>
            <w:pPr>
              <w:spacing w:after="0"/>
              <w:rPr>
                <w:sz w:val="24"/>
                <w:szCs w:val="24"/>
                <w:color w:val="auto"/>
              </w:rPr>
            </w:pPr>
          </w:p>
        </w:tc>
        <w:tc>
          <w:tcPr>
            <w:tcW w:w="360" w:type="dxa"/>
            <w:vAlign w:val="bottom"/>
            <w:shd w:val="clear" w:color="auto" w:fill="CCEECC"/>
          </w:tcPr>
          <w:p>
            <w:pPr>
              <w:spacing w:after="0"/>
              <w:rPr>
                <w:sz w:val="24"/>
                <w:szCs w:val="24"/>
                <w:color w:val="auto"/>
              </w:rPr>
            </w:pPr>
          </w:p>
        </w:tc>
        <w:tc>
          <w:tcPr>
            <w:tcW w:w="300" w:type="dxa"/>
            <w:vAlign w:val="bottom"/>
            <w:shd w:val="clear" w:color="auto" w:fill="CCEECC"/>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128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00" w:type="dxa"/>
            <w:vAlign w:val="bottom"/>
            <w:vMerge w:val="continue"/>
          </w:tcPr>
          <w:p>
            <w:pPr>
              <w:spacing w:after="0"/>
              <w:rPr>
                <w:sz w:val="15"/>
                <w:szCs w:val="15"/>
                <w:color w:val="auto"/>
              </w:rPr>
            </w:pPr>
          </w:p>
        </w:tc>
        <w:tc>
          <w:tcPr>
            <w:tcW w:w="104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4860" w:type="dxa"/>
            <w:vAlign w:val="bottom"/>
            <w:gridSpan w:val="15"/>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220" w:type="dxa"/>
            <w:vAlign w:val="bottom"/>
            <w:gridSpan w:val="2"/>
          </w:tcPr>
          <w:p>
            <w:pPr>
              <w:jc w:val="center"/>
              <w:ind w:left="770"/>
              <w:spacing w:after="0" w:line="176" w:lineRule="exact"/>
              <w:rPr>
                <w:sz w:val="20"/>
                <w:szCs w:val="20"/>
                <w:color w:val="auto"/>
              </w:rPr>
            </w:pPr>
            <w:r>
              <w:rPr>
                <w:rFonts w:ascii="Arial" w:cs="Arial" w:eastAsia="Arial" w:hAnsi="Arial"/>
                <w:sz w:val="18"/>
                <w:szCs w:val="18"/>
                <w:color w:val="auto"/>
                <w:w w:val="79"/>
              </w:rPr>
              <w:t>9</w:t>
            </w: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vMerge w:val="continue"/>
          </w:tcPr>
          <w:p>
            <w:pPr>
              <w:spacing w:after="0"/>
              <w:rPr>
                <w:sz w:val="17"/>
                <w:szCs w:val="17"/>
                <w:color w:val="auto"/>
              </w:rPr>
            </w:pPr>
          </w:p>
        </w:tc>
        <w:tc>
          <w:tcPr>
            <w:tcW w:w="1040" w:type="dxa"/>
            <w:vAlign w:val="bottom"/>
            <w:tcBorders>
              <w:bottom w:val="single" w:sz="8" w:color="CCEECC"/>
            </w:tcBorders>
            <w:shd w:val="clear" w:color="auto" w:fill="CCEECC"/>
          </w:tcPr>
          <w:p>
            <w:pPr>
              <w:spacing w:after="0" w:line="17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shd w:val="clear" w:color="auto" w:fill="CCEECC"/>
          </w:tcPr>
          <w:p>
            <w:pPr>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Risk Factors</w:t>
              </w:r>
            </w:hyperlink>
          </w:p>
        </w:tc>
        <w:tc>
          <w:tcPr>
            <w:tcW w:w="3940" w:type="dxa"/>
            <w:vAlign w:val="bottom"/>
            <w:tcBorders>
              <w:bottom w:val="single" w:sz="8" w:color="CCEECC"/>
            </w:tcBorders>
            <w:gridSpan w:val="13"/>
            <w:shd w:val="clear" w:color="auto" w:fill="CCEECC"/>
          </w:tcPr>
          <w:p>
            <w:pPr>
              <w:spacing w:after="0"/>
              <w:rPr>
                <w:sz w:val="17"/>
                <w:szCs w:val="17"/>
                <w:color w:val="auto"/>
              </w:rPr>
            </w:pPr>
          </w:p>
        </w:tc>
        <w:tc>
          <w:tcPr>
            <w:tcW w:w="1220" w:type="dxa"/>
            <w:vAlign w:val="bottom"/>
            <w:tcBorders>
              <w:bottom w:val="single" w:sz="8" w:color="CCEECC"/>
            </w:tcBorders>
            <w:gridSpan w:val="2"/>
            <w:shd w:val="clear" w:color="auto" w:fill="CCEECC"/>
          </w:tcPr>
          <w:p>
            <w:pPr>
              <w:jc w:val="center"/>
              <w:ind w:left="770"/>
              <w:spacing w:after="0" w:line="176" w:lineRule="exact"/>
              <w:rPr>
                <w:sz w:val="20"/>
                <w:szCs w:val="20"/>
                <w:color w:val="auto"/>
              </w:rPr>
            </w:pPr>
            <w:r>
              <w:rPr>
                <w:rFonts w:ascii="Arial" w:cs="Arial" w:eastAsia="Arial" w:hAnsi="Arial"/>
                <w:sz w:val="18"/>
                <w:szCs w:val="18"/>
                <w:color w:val="auto"/>
                <w:w w:val="79"/>
              </w:rPr>
              <w:t>9</w:t>
            </w:r>
          </w:p>
        </w:tc>
        <w:tc>
          <w:tcPr>
            <w:tcW w:w="300" w:type="dxa"/>
            <w:vAlign w:val="bottom"/>
            <w:tcBorders>
              <w:bottom w:val="single" w:sz="8" w:color="CCEECC"/>
            </w:tcBorders>
            <w:shd w:val="clear" w:color="auto" w:fill="CCEECC"/>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4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4860" w:type="dxa"/>
            <w:vAlign w:val="bottom"/>
            <w:gridSpan w:val="15"/>
          </w:tcPr>
          <w:p>
            <w:pPr>
              <w:spacing w:after="0" w:line="176"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Unregistered Sales of Equity Securities and Use of Proceeds</w:t>
              </w:r>
            </w:hyperlink>
          </w:p>
        </w:tc>
        <w:tc>
          <w:tcPr>
            <w:tcW w:w="1220" w:type="dxa"/>
            <w:vAlign w:val="bottom"/>
            <w:gridSpan w:val="2"/>
          </w:tcPr>
          <w:p>
            <w:pPr>
              <w:jc w:val="center"/>
              <w:ind w:left="770"/>
              <w:spacing w:after="0" w:line="176" w:lineRule="exact"/>
              <w:rPr>
                <w:sz w:val="20"/>
                <w:szCs w:val="20"/>
                <w:color w:val="auto"/>
              </w:rPr>
            </w:pPr>
            <w:r>
              <w:rPr>
                <w:rFonts w:ascii="Arial" w:cs="Arial" w:eastAsia="Arial" w:hAnsi="Arial"/>
                <w:sz w:val="18"/>
                <w:szCs w:val="18"/>
                <w:color w:val="auto"/>
                <w:w w:val="79"/>
              </w:rPr>
              <w:t>9</w:t>
            </w: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vMerge w:val="continue"/>
          </w:tcPr>
          <w:p>
            <w:pPr>
              <w:spacing w:after="0"/>
              <w:rPr>
                <w:sz w:val="17"/>
                <w:szCs w:val="17"/>
                <w:color w:val="auto"/>
              </w:rPr>
            </w:pPr>
          </w:p>
        </w:tc>
        <w:tc>
          <w:tcPr>
            <w:tcW w:w="1040" w:type="dxa"/>
            <w:vAlign w:val="bottom"/>
            <w:tcBorders>
              <w:bottom w:val="single" w:sz="8" w:color="CCEECC"/>
            </w:tcBorders>
            <w:shd w:val="clear" w:color="auto" w:fill="CCEECC"/>
          </w:tcPr>
          <w:p>
            <w:pPr>
              <w:spacing w:after="0" w:line="17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1"/>
            <w:shd w:val="clear" w:color="auto" w:fill="CCEECC"/>
          </w:tcPr>
          <w:p>
            <w:pPr>
              <w:spacing w:after="0" w:line="17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Defaults Upon Senior Securities</w:t>
              </w:r>
            </w:hyperlink>
          </w:p>
        </w:tc>
        <w:tc>
          <w:tcPr>
            <w:tcW w:w="2520" w:type="dxa"/>
            <w:vAlign w:val="bottom"/>
            <w:tcBorders>
              <w:bottom w:val="single" w:sz="8" w:color="CCEECC"/>
            </w:tcBorders>
            <w:gridSpan w:val="4"/>
            <w:shd w:val="clear" w:color="auto" w:fill="CCEECC"/>
          </w:tcPr>
          <w:p>
            <w:pPr>
              <w:spacing w:after="0"/>
              <w:rPr>
                <w:sz w:val="17"/>
                <w:szCs w:val="17"/>
                <w:color w:val="auto"/>
              </w:rPr>
            </w:pPr>
          </w:p>
        </w:tc>
        <w:tc>
          <w:tcPr>
            <w:tcW w:w="1220" w:type="dxa"/>
            <w:vAlign w:val="bottom"/>
            <w:tcBorders>
              <w:bottom w:val="single" w:sz="8" w:color="CCEECC"/>
            </w:tcBorders>
            <w:gridSpan w:val="2"/>
            <w:shd w:val="clear" w:color="auto" w:fill="CCEECC"/>
          </w:tcPr>
          <w:p>
            <w:pPr>
              <w:jc w:val="center"/>
              <w:ind w:left="770"/>
              <w:spacing w:after="0" w:line="176" w:lineRule="exact"/>
              <w:rPr>
                <w:sz w:val="20"/>
                <w:szCs w:val="20"/>
                <w:color w:val="auto"/>
              </w:rPr>
            </w:pPr>
            <w:r>
              <w:rPr>
                <w:rFonts w:ascii="Arial" w:cs="Arial" w:eastAsia="Arial" w:hAnsi="Arial"/>
                <w:sz w:val="18"/>
                <w:szCs w:val="18"/>
                <w:color w:val="auto"/>
                <w:w w:val="79"/>
              </w:rPr>
              <w:t>9</w:t>
            </w:r>
          </w:p>
        </w:tc>
        <w:tc>
          <w:tcPr>
            <w:tcW w:w="300" w:type="dxa"/>
            <w:vAlign w:val="bottom"/>
            <w:tcBorders>
              <w:bottom w:val="single" w:sz="8" w:color="CCEECC"/>
            </w:tcBorders>
            <w:shd w:val="clear" w:color="auto" w:fill="CCEECC"/>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4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4860" w:type="dxa"/>
            <w:vAlign w:val="bottom"/>
            <w:gridSpan w:val="15"/>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w:t>
              </w:r>
            </w:hyperlink>
          </w:p>
        </w:tc>
        <w:tc>
          <w:tcPr>
            <w:tcW w:w="1220" w:type="dxa"/>
            <w:vAlign w:val="bottom"/>
            <w:gridSpan w:val="2"/>
          </w:tcPr>
          <w:p>
            <w:pPr>
              <w:jc w:val="center"/>
              <w:ind w:left="770"/>
              <w:spacing w:after="0" w:line="176" w:lineRule="exact"/>
              <w:rPr>
                <w:sz w:val="20"/>
                <w:szCs w:val="20"/>
                <w:color w:val="auto"/>
              </w:rPr>
            </w:pPr>
            <w:r>
              <w:rPr>
                <w:rFonts w:ascii="Arial" w:cs="Arial" w:eastAsia="Arial" w:hAnsi="Arial"/>
                <w:sz w:val="18"/>
                <w:szCs w:val="18"/>
                <w:color w:val="auto"/>
                <w:w w:val="79"/>
              </w:rPr>
              <w:t>9</w:t>
            </w: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vMerge w:val="continue"/>
          </w:tcPr>
          <w:p>
            <w:pPr>
              <w:spacing w:after="0"/>
              <w:rPr>
                <w:sz w:val="17"/>
                <w:szCs w:val="17"/>
                <w:color w:val="auto"/>
              </w:rPr>
            </w:pPr>
          </w:p>
        </w:tc>
        <w:tc>
          <w:tcPr>
            <w:tcW w:w="1040" w:type="dxa"/>
            <w:vAlign w:val="bottom"/>
            <w:shd w:val="clear" w:color="auto" w:fill="CCEECC"/>
          </w:tcPr>
          <w:p>
            <w:pPr>
              <w:spacing w:after="0" w:line="176" w:lineRule="exact"/>
              <w:rPr>
                <w:sz w:val="20"/>
                <w:szCs w:val="20"/>
                <w:color w:val="auto"/>
              </w:rPr>
            </w:pPr>
            <w:r>
              <w:rPr>
                <w:rFonts w:ascii="Arial" w:cs="Arial" w:eastAsia="Arial" w:hAnsi="Arial"/>
                <w:sz w:val="18"/>
                <w:szCs w:val="18"/>
                <w:color w:val="auto"/>
              </w:rPr>
              <w:t>Item 5:</w:t>
            </w:r>
          </w:p>
        </w:tc>
        <w:tc>
          <w:tcPr>
            <w:tcW w:w="4860" w:type="dxa"/>
            <w:vAlign w:val="bottom"/>
            <w:gridSpan w:val="15"/>
            <w:shd w:val="clear" w:color="auto" w:fill="CCEECC"/>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1220" w:type="dxa"/>
            <w:vAlign w:val="bottom"/>
            <w:gridSpan w:val="2"/>
            <w:shd w:val="clear" w:color="auto" w:fill="CCEECC"/>
          </w:tcPr>
          <w:p>
            <w:pPr>
              <w:jc w:val="center"/>
              <w:ind w:left="770"/>
              <w:spacing w:after="0" w:line="176" w:lineRule="exact"/>
              <w:rPr>
                <w:sz w:val="20"/>
                <w:szCs w:val="20"/>
                <w:color w:val="auto"/>
              </w:rPr>
            </w:pPr>
            <w:r>
              <w:rPr>
                <w:rFonts w:ascii="Arial" w:cs="Arial" w:eastAsia="Arial" w:hAnsi="Arial"/>
                <w:sz w:val="18"/>
                <w:szCs w:val="18"/>
                <w:color w:val="auto"/>
                <w:w w:val="79"/>
              </w:rPr>
              <w:t>9</w:t>
            </w:r>
          </w:p>
        </w:tc>
        <w:tc>
          <w:tcPr>
            <w:tcW w:w="300" w:type="dxa"/>
            <w:vAlign w:val="bottom"/>
            <w:shd w:val="clear" w:color="auto" w:fill="CCEECC"/>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40" w:type="dxa"/>
            <w:vAlign w:val="bottom"/>
            <w:tcBorders>
              <w:top w:val="single" w:sz="8" w:color="CCEECC"/>
            </w:tcBorders>
          </w:tcPr>
          <w:p>
            <w:pPr>
              <w:spacing w:after="0" w:line="17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3540" w:type="dxa"/>
            <w:vAlign w:val="bottom"/>
            <w:tcBorders>
              <w:top w:val="single" w:sz="8" w:color="CCEECC"/>
            </w:tcBorders>
            <w:gridSpan w:val="11"/>
          </w:tcPr>
          <w:p>
            <w:pPr>
              <w:spacing w:after="0"/>
              <w:rPr>
                <w:sz w:val="15"/>
                <w:szCs w:val="15"/>
                <w:color w:val="auto"/>
              </w:rPr>
            </w:pPr>
          </w:p>
        </w:tc>
        <w:tc>
          <w:tcPr>
            <w:tcW w:w="1220" w:type="dxa"/>
            <w:vAlign w:val="bottom"/>
            <w:tcBorders>
              <w:top w:val="single" w:sz="8" w:color="CCEECC"/>
            </w:tcBorders>
            <w:gridSpan w:val="2"/>
          </w:tcPr>
          <w:p>
            <w:pPr>
              <w:jc w:val="center"/>
              <w:ind w:left="770"/>
              <w:spacing w:after="0" w:line="176" w:lineRule="exact"/>
              <w:rPr>
                <w:sz w:val="20"/>
                <w:szCs w:val="20"/>
                <w:color w:val="auto"/>
              </w:rPr>
            </w:pPr>
            <w:r>
              <w:rPr>
                <w:rFonts w:ascii="Arial" w:cs="Arial" w:eastAsia="Arial" w:hAnsi="Arial"/>
                <w:sz w:val="18"/>
                <w:szCs w:val="18"/>
                <w:color w:val="auto"/>
                <w:w w:val="79"/>
              </w:rPr>
              <w:t>9</w:t>
            </w:r>
          </w:p>
        </w:tc>
        <w:tc>
          <w:tcPr>
            <w:tcW w:w="300" w:type="dxa"/>
            <w:vAlign w:val="bottom"/>
            <w:tcBorders>
              <w:top w:val="single" w:sz="8" w:color="CCEECC"/>
            </w:tcBorders>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20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20" w:type="dxa"/>
            <w:vAlign w:val="bottom"/>
            <w:gridSpan w:val="12"/>
          </w:tcPr>
          <w:p>
            <w:pPr>
              <w:jc w:val="center"/>
              <w:ind w:left="1630"/>
              <w:spacing w:after="0"/>
              <w:rPr>
                <w:sz w:val="20"/>
                <w:szCs w:val="20"/>
                <w:color w:val="auto"/>
              </w:rPr>
            </w:pPr>
            <w:r>
              <w:rPr>
                <w:rFonts w:ascii="Arial" w:cs="Arial" w:eastAsia="Arial" w:hAnsi="Arial"/>
                <w:sz w:val="18"/>
                <w:szCs w:val="18"/>
                <w:color w:val="auto"/>
                <w:w w:val="99"/>
              </w:rPr>
              <w:t>2</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-1920875</wp:posOffset>
            </wp:positionV>
            <wp:extent cx="4707890"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07890" cy="68580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F-1</w:t>
      </w:r>
      <w:r>
        <w:rPr>
          <w:sz w:val="20"/>
          <w:szCs w:val="20"/>
          <w:color w:val="auto"/>
        </w:rPr>
        <w:tab/>
      </w:r>
      <w:hyperlink w:anchor="page4">
        <w:r>
          <w:rPr>
            <w:rFonts w:ascii="Arial" w:cs="Arial" w:eastAsia="Arial" w:hAnsi="Arial"/>
            <w:sz w:val="16"/>
            <w:szCs w:val="16"/>
            <w:u w:val="single" w:color="auto"/>
            <w:color w:val="0000EE"/>
          </w:rPr>
          <w:t>Consolidated Balance Sheets (unaudited) as of June 30, 2012 and December 31, 2011 (unaudited);</w:t>
        </w:r>
      </w:hyperlink>
    </w:p>
    <w:p>
      <w:pPr>
        <w:spacing w:after="0" w:line="23"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F-2</w:t>
      </w:r>
      <w:r>
        <w:rPr>
          <w:sz w:val="20"/>
          <w:szCs w:val="20"/>
          <w:color w:val="auto"/>
        </w:rPr>
        <w:tab/>
      </w:r>
      <w:hyperlink w:anchor="page5">
        <w:r>
          <w:rPr>
            <w:rFonts w:ascii="Arial" w:cs="Arial" w:eastAsia="Arial" w:hAnsi="Arial"/>
            <w:sz w:val="16"/>
            <w:szCs w:val="16"/>
            <w:u w:val="single" w:color="auto"/>
            <w:color w:val="0000EE"/>
          </w:rPr>
          <w:t>Consolidated Statements of Operations (unaudited) for the three months ended June 30, 2012 and 2011 (unaudited);</w:t>
        </w:r>
      </w:hyperlink>
    </w:p>
    <w:p>
      <w:pPr>
        <w:spacing w:after="0" w:line="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F-3</w:t>
      </w:r>
      <w:r>
        <w:rPr>
          <w:sz w:val="20"/>
          <w:szCs w:val="20"/>
          <w:color w:val="auto"/>
        </w:rPr>
        <w:tab/>
      </w:r>
      <w:hyperlink w:anchor="page6">
        <w:r>
          <w:rPr>
            <w:rFonts w:ascii="Arial" w:cs="Arial" w:eastAsia="Arial" w:hAnsi="Arial"/>
            <w:sz w:val="16"/>
            <w:szCs w:val="16"/>
            <w:u w:val="single" w:color="auto"/>
            <w:color w:val="0000EE"/>
          </w:rPr>
          <w:t>Consolidated Statements of Operations (unaudited) for the six months ended June 30, 2012 and 2011 (unaudited);</w:t>
        </w:r>
      </w:hyperlink>
    </w:p>
    <w:p>
      <w:pPr>
        <w:spacing w:after="0" w:line="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F-4</w:t>
      </w:r>
      <w:r>
        <w:rPr>
          <w:sz w:val="20"/>
          <w:szCs w:val="20"/>
          <w:color w:val="auto"/>
        </w:rPr>
        <w:tab/>
      </w:r>
      <w:hyperlink w:anchor="page7">
        <w:r>
          <w:rPr>
            <w:rFonts w:ascii="Arial" w:cs="Arial" w:eastAsia="Arial" w:hAnsi="Arial"/>
            <w:sz w:val="16"/>
            <w:szCs w:val="16"/>
            <w:u w:val="single" w:color="auto"/>
            <w:color w:val="0000EE"/>
          </w:rPr>
          <w:t>Consolidated Statements of Cash Flow (unaudited) for the six months ended June 30, 2012 and 2011 (unaudited);</w:t>
        </w:r>
      </w:hyperlink>
    </w:p>
    <w:p>
      <w:pPr>
        <w:spacing w:after="0" w:line="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F-5</w:t>
      </w:r>
      <w:r>
        <w:rPr>
          <w:sz w:val="20"/>
          <w:szCs w:val="20"/>
          <w:color w:val="auto"/>
        </w:rPr>
        <w:tab/>
      </w:r>
      <w:hyperlink w:anchor="page8">
        <w:r>
          <w:rPr>
            <w:rFonts w:ascii="Arial" w:cs="Arial" w:eastAsia="Arial" w:hAnsi="Arial"/>
            <w:sz w:val="16"/>
            <w:szCs w:val="16"/>
            <w:u w:val="single" w:color="auto"/>
            <w:color w:val="0000EE"/>
          </w:rPr>
          <w:t>Notes to Consolidated Financial Statements.</w:t>
        </w:r>
      </w:hyperlink>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June 30, 2012 are not necessarily indicative of the results that can be expected for the full year.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 AS OF JUNE 30, 2012</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 DECEMBER 31, 2011 (UNAUDITED)</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tcPr>
          <w:p>
            <w:pPr>
              <w:ind w:left="180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vMerge w:val="restart"/>
          </w:tcPr>
          <w:p>
            <w:pPr>
              <w:ind w:left="12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20"/>
                <w:szCs w:val="2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CC"/>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527,511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959,166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526,047</w:t>
            </w: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471,870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56,686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119,032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bottom w:val="single" w:sz="8" w:color="auto"/>
            </w:tcBorders>
            <w:shd w:val="clear" w:color="auto" w:fill="CCEECC"/>
          </w:tcPr>
          <w:p>
            <w:pPr>
              <w:spacing w:after="0"/>
              <w:rPr>
                <w:sz w:val="18"/>
                <w:szCs w:val="18"/>
                <w:color w:val="auto"/>
              </w:rPr>
            </w:pP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1,110,244</w:t>
            </w:r>
          </w:p>
        </w:tc>
        <w:tc>
          <w:tcPr>
            <w:tcW w:w="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1,550,068</w:t>
            </w:r>
          </w:p>
        </w:tc>
        <w:tc>
          <w:tcPr>
            <w:tcW w:w="6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00" w:type="dxa"/>
            <w:vAlign w:val="bottom"/>
            <w:shd w:val="clear" w:color="auto" w:fill="CCEEC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23,449</w:t>
            </w:r>
          </w:p>
        </w:tc>
        <w:tc>
          <w:tcPr>
            <w:tcW w:w="1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23,931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CC"/>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Patent rights,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820,589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847,941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Website development costs, net</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455,935</w:t>
            </w: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465,498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Security deposit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Other Assets</w:t>
            </w:r>
          </w:p>
        </w:tc>
        <w:tc>
          <w:tcPr>
            <w:tcW w:w="10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bottom w:val="single" w:sz="8" w:color="auto"/>
            </w:tcBorders>
            <w:shd w:val="clear" w:color="auto" w:fill="CCEECC"/>
          </w:tcPr>
          <w:p>
            <w:pPr>
              <w:spacing w:after="0"/>
              <w:rPr>
                <w:sz w:val="18"/>
                <w:szCs w:val="18"/>
                <w:color w:val="auto"/>
              </w:rPr>
            </w:pP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1,281,573</w:t>
            </w:r>
          </w:p>
        </w:tc>
        <w:tc>
          <w:tcPr>
            <w:tcW w:w="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1,318,488</w:t>
            </w:r>
          </w:p>
        </w:tc>
        <w:tc>
          <w:tcPr>
            <w:tcW w:w="6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00" w:type="dxa"/>
            <w:vAlign w:val="bottom"/>
            <w:shd w:val="clear" w:color="auto" w:fill="CCEECC"/>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2,415,266</w:t>
            </w:r>
          </w:p>
        </w:tc>
        <w:tc>
          <w:tcPr>
            <w:tcW w:w="120" w:type="dxa"/>
            <w:vAlign w:val="bottom"/>
            <w:shd w:val="clear" w:color="auto" w:fill="CCEECC"/>
          </w:tcPr>
          <w:p>
            <w:pPr>
              <w:spacing w:after="0"/>
              <w:rPr>
                <w:sz w:val="21"/>
                <w:szCs w:val="21"/>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2,892,487</w:t>
            </w:r>
          </w:p>
        </w:tc>
        <w:tc>
          <w:tcPr>
            <w:tcW w:w="6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CC"/>
          </w:tcPr>
          <w:p>
            <w:pPr>
              <w:ind w:left="1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C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Accounts payable - trade</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177,511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336,712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Accounts payable - related party</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570,000</w:t>
            </w: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277,076</w:t>
            </w:r>
          </w:p>
        </w:tc>
        <w:tc>
          <w:tcPr>
            <w:tcW w:w="1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330,605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CCEECC"/>
            </w:tcBorders>
          </w:tcPr>
          <w:p>
            <w:pPr>
              <w:ind w:left="3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CCEE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1,024,587</w:t>
            </w:r>
          </w:p>
        </w:tc>
        <w:tc>
          <w:tcPr>
            <w:tcW w:w="80" w:type="dxa"/>
            <w:vAlign w:val="bottom"/>
            <w:tcBorders>
              <w:bottom w:val="single" w:sz="8" w:color="CCEECC"/>
            </w:tcBorders>
          </w:tcPr>
          <w:p>
            <w:pPr>
              <w:spacing w:after="0"/>
              <w:rPr>
                <w:sz w:val="18"/>
                <w:szCs w:val="18"/>
                <w:color w:val="auto"/>
              </w:rPr>
            </w:pPr>
          </w:p>
        </w:tc>
        <w:tc>
          <w:tcPr>
            <w:tcW w:w="12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1,303,317</w:t>
            </w:r>
          </w:p>
        </w:tc>
        <w:tc>
          <w:tcPr>
            <w:tcW w:w="6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shd w:val="clear" w:color="auto" w:fill="CCEECC"/>
          </w:tcPr>
          <w:p>
            <w:pPr>
              <w:ind w:left="300"/>
              <w:spacing w:after="0" w:line="201" w:lineRule="exact"/>
              <w:rPr>
                <w:sz w:val="20"/>
                <w:szCs w:val="20"/>
                <w:color w:val="auto"/>
              </w:rPr>
            </w:pPr>
            <w:r>
              <w:rPr>
                <w:rFonts w:ascii="Arial" w:cs="Arial" w:eastAsia="Arial" w:hAnsi="Arial"/>
                <w:sz w:val="18"/>
                <w:szCs w:val="18"/>
                <w:color w:val="auto"/>
                <w:w w:val="91"/>
              </w:rPr>
              <w:t>Common stock, $.001 par value, 500,000,000 shares</w:t>
            </w:r>
          </w:p>
        </w:tc>
        <w:tc>
          <w:tcPr>
            <w:tcW w:w="10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authorized,</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14,192,496 shares issued and outstanding</w:t>
            </w:r>
          </w:p>
        </w:tc>
        <w:tc>
          <w:tcPr>
            <w:tcW w:w="10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0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14,192</w:t>
            </w:r>
          </w:p>
        </w:tc>
        <w:tc>
          <w:tcPr>
            <w:tcW w:w="1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1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14,192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ind w:left="300"/>
              <w:spacing w:after="0" w:line="201" w:lineRule="exact"/>
              <w:rPr>
                <w:sz w:val="20"/>
                <w:szCs w:val="20"/>
                <w:color w:val="auto"/>
              </w:rPr>
            </w:pPr>
            <w:r>
              <w:rPr>
                <w:rFonts w:ascii="Arial" w:cs="Arial" w:eastAsia="Arial" w:hAnsi="Arial"/>
                <w:sz w:val="18"/>
                <w:szCs w:val="18"/>
                <w:color w:val="auto"/>
                <w:w w:val="93"/>
              </w:rPr>
              <w:t>Preferred stock, $.001 par value, 10,000,000 shares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authorized,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65 shares issued and outstanding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Stock warrants</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20,826,934</w:t>
            </w: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20,826,934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5,303,862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5,125,558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w w:val="95"/>
              </w:rPr>
              <w:t>(24,754,309)</w:t>
            </w:r>
          </w:p>
        </w:tc>
        <w:tc>
          <w:tcPr>
            <w:tcW w:w="1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(24,377,514)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1,390,679</w:t>
            </w:r>
          </w:p>
        </w:tc>
        <w:tc>
          <w:tcPr>
            <w:tcW w:w="80" w:type="dxa"/>
            <w:vAlign w:val="bottom"/>
            <w:tcBorders>
              <w:bottom w:val="single" w:sz="8" w:color="CCEECC"/>
            </w:tcBorders>
          </w:tcPr>
          <w:p>
            <w:pPr>
              <w:spacing w:after="0"/>
              <w:rPr>
                <w:sz w:val="18"/>
                <w:szCs w:val="18"/>
                <w:color w:val="auto"/>
              </w:rPr>
            </w:pPr>
          </w:p>
        </w:tc>
        <w:tc>
          <w:tcPr>
            <w:tcW w:w="12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1,589,170</w:t>
            </w:r>
          </w:p>
        </w:tc>
        <w:tc>
          <w:tcPr>
            <w:tcW w:w="6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w w:val="99"/>
              </w:rPr>
              <w:t>TOTAL LIABILITIES AND STOCKHOLDERS' EQUITY $</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2,415,266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2,892,487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31, 2012 AND 2011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89"/>
              </w:rPr>
              <w:t>For the three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For the three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89"/>
              </w:rPr>
              <w:t>months ended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85"/>
              </w:rPr>
              <w:t>June 30, 2011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gridSpan w:val="2"/>
            <w:vMerge w:val="restart"/>
          </w:tcPr>
          <w:p>
            <w:pPr>
              <w:ind w:left="1720"/>
              <w:spacing w:after="0"/>
              <w:rPr>
                <w:sz w:val="20"/>
                <w:szCs w:val="20"/>
                <w:color w:val="auto"/>
              </w:rPr>
            </w:pPr>
            <w:r>
              <w:rPr>
                <w:rFonts w:ascii="Arial" w:cs="Arial" w:eastAsia="Arial" w:hAnsi="Arial"/>
                <w:sz w:val="18"/>
                <w:szCs w:val="18"/>
                <w:color w:val="auto"/>
              </w:rPr>
              <w:t>REVENUE</w:t>
            </w: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89"/>
              </w:rPr>
              <w:t>June 30, 2012</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(Restated)</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Sales</w:t>
            </w:r>
          </w:p>
        </w:tc>
        <w:tc>
          <w:tcPr>
            <w:tcW w:w="1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515,423</w:t>
            </w:r>
          </w:p>
        </w:tc>
        <w:tc>
          <w:tcPr>
            <w:tcW w:w="2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200,174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80" w:type="dxa"/>
            <w:vAlign w:val="bottom"/>
            <w:shd w:val="clear" w:color="auto" w:fill="CCEECC"/>
          </w:tcPr>
          <w:p>
            <w:pPr>
              <w:ind w:left="980"/>
              <w:spacing w:after="0"/>
              <w:rPr>
                <w:sz w:val="20"/>
                <w:szCs w:val="20"/>
                <w:color w:val="auto"/>
              </w:rPr>
            </w:pPr>
            <w:r>
              <w:rPr>
                <w:rFonts w:ascii="Arial" w:cs="Arial" w:eastAsia="Arial" w:hAnsi="Arial"/>
                <w:sz w:val="18"/>
                <w:szCs w:val="18"/>
                <w:color w:val="auto"/>
              </w:rPr>
              <w:t>TOTAL REVENUE</w:t>
            </w:r>
          </w:p>
        </w:tc>
        <w:tc>
          <w:tcPr>
            <w:tcW w:w="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515,423</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200,174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80" w:type="dxa"/>
            <w:vAlign w:val="bottom"/>
            <w:shd w:val="clear" w:color="auto" w:fill="CCEECC"/>
          </w:tcPr>
          <w:p>
            <w:pPr>
              <w:spacing w:after="0"/>
              <w:rPr>
                <w:sz w:val="20"/>
                <w:szCs w:val="20"/>
                <w:color w:val="auto"/>
              </w:rPr>
            </w:pPr>
            <w:r>
              <w:rPr>
                <w:rFonts w:ascii="Arial" w:cs="Arial" w:eastAsia="Arial" w:hAnsi="Arial"/>
                <w:sz w:val="18"/>
                <w:szCs w:val="18"/>
                <w:color w:val="auto"/>
              </w:rPr>
              <w:t>EXPENSES</w:t>
            </w:r>
          </w:p>
        </w:tc>
        <w:tc>
          <w:tcPr>
            <w:tcW w:w="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591,628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620,654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8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1220" w:type="dxa"/>
            <w:vAlign w:val="bottom"/>
            <w:tcBorders>
              <w:top w:val="single" w:sz="8" w:color="auto"/>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80" w:type="dxa"/>
            <w:vAlign w:val="bottom"/>
          </w:tcPr>
          <w:p>
            <w:pPr>
              <w:ind w:left="980"/>
              <w:spacing w:after="0"/>
              <w:rPr>
                <w:sz w:val="20"/>
                <w:szCs w:val="20"/>
                <w:color w:val="auto"/>
              </w:rPr>
            </w:pPr>
            <w:r>
              <w:rPr>
                <w:rFonts w:ascii="Arial" w:cs="Arial" w:eastAsia="Arial" w:hAnsi="Arial"/>
                <w:sz w:val="18"/>
                <w:szCs w:val="18"/>
                <w:color w:val="auto"/>
              </w:rPr>
              <w:t>TOTAL EXPENSES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591,628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620,654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8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1220" w:type="dxa"/>
            <w:vAlign w:val="bottom"/>
            <w:tcBorders>
              <w:top w:val="single" w:sz="8" w:color="auto"/>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80" w:type="dxa"/>
            <w:vAlign w:val="bottom"/>
          </w:tcPr>
          <w:p>
            <w:pPr>
              <w:ind w:left="980"/>
              <w:spacing w:after="0"/>
              <w:rPr>
                <w:sz w:val="20"/>
                <w:szCs w:val="20"/>
                <w:color w:val="auto"/>
              </w:rPr>
            </w:pPr>
            <w:r>
              <w:rPr>
                <w:rFonts w:ascii="Arial" w:cs="Arial" w:eastAsia="Arial" w:hAnsi="Arial"/>
                <w:sz w:val="18"/>
                <w:szCs w:val="18"/>
                <w:color w:val="auto"/>
              </w:rPr>
              <w:t>OPERATING LOSS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(76,205)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(420,480)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8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1220" w:type="dxa"/>
            <w:vAlign w:val="bottom"/>
            <w:tcBorders>
              <w:top w:val="single" w:sz="8" w:color="auto"/>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INCOME (EXPENSE)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Interest income</w:t>
            </w:r>
          </w:p>
        </w:tc>
        <w:tc>
          <w:tcPr>
            <w:tcW w:w="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(140,098)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80" w:type="dxa"/>
            <w:vAlign w:val="bottom"/>
          </w:tcPr>
          <w:p>
            <w:pPr>
              <w:ind w:left="980"/>
              <w:spacing w:after="0"/>
              <w:rPr>
                <w:sz w:val="20"/>
                <w:szCs w:val="20"/>
                <w:color w:val="auto"/>
              </w:rPr>
            </w:pPr>
            <w:r>
              <w:rPr>
                <w:rFonts w:ascii="Arial" w:cs="Arial" w:eastAsia="Arial" w:hAnsi="Arial"/>
                <w:sz w:val="18"/>
                <w:szCs w:val="18"/>
                <w:color w:val="auto"/>
              </w:rPr>
              <w:t>TOTAL OTHER INCOME (EXPENSE)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(139,703)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8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1220" w:type="dxa"/>
            <w:vAlign w:val="bottom"/>
            <w:tcBorders>
              <w:top w:val="single" w:sz="8" w:color="auto"/>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(76,059)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(560,183)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8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1220" w:type="dxa"/>
            <w:vAlign w:val="bottom"/>
            <w:tcBorders>
              <w:top w:val="single" w:sz="8" w:color="auto"/>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5080" w:type="dxa"/>
            <w:vAlign w:val="bottom"/>
            <w:shd w:val="clear" w:color="auto" w:fill="CCEECC"/>
          </w:tcPr>
          <w:p>
            <w:pPr>
              <w:ind w:left="980"/>
              <w:spacing w:after="0"/>
              <w:rPr>
                <w:sz w:val="20"/>
                <w:szCs w:val="20"/>
                <w:color w:val="auto"/>
              </w:rPr>
            </w:pPr>
            <w:r>
              <w:rPr>
                <w:rFonts w:ascii="Arial" w:cs="Arial" w:eastAsia="Arial" w:hAnsi="Arial"/>
                <w:sz w:val="18"/>
                <w:szCs w:val="18"/>
                <w:color w:val="auto"/>
              </w:rPr>
              <w:t>NET LOSS</w:t>
            </w:r>
          </w:p>
        </w:tc>
        <w:tc>
          <w:tcPr>
            <w:tcW w:w="1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(76,059)</w:t>
            </w:r>
          </w:p>
        </w:tc>
        <w:tc>
          <w:tcPr>
            <w:tcW w:w="2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(560,183)</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vMerge w:val="continue"/>
          </w:tcPr>
          <w:p>
            <w:pPr>
              <w:spacing w:after="0"/>
              <w:rPr>
                <w:sz w:val="17"/>
                <w:szCs w:val="17"/>
                <w:color w:val="auto"/>
              </w:rPr>
            </w:pPr>
          </w:p>
        </w:tc>
        <w:tc>
          <w:tcPr>
            <w:tcW w:w="508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6"/>
              </w:rPr>
              <w:t>WEIGHTED AVERAGE NUMBER OF SHARES OUTSTANDING:</w:t>
            </w:r>
          </w:p>
        </w:tc>
        <w:tc>
          <w:tcPr>
            <w:tcW w:w="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5080" w:type="dxa"/>
            <w:vAlign w:val="bottom"/>
            <w:shd w:val="clear" w:color="auto" w:fill="CCEECC"/>
          </w:tcPr>
          <w:p>
            <w:pPr>
              <w:spacing w:after="0"/>
              <w:rPr>
                <w:sz w:val="20"/>
                <w:szCs w:val="20"/>
                <w:color w:val="auto"/>
              </w:rPr>
            </w:pPr>
            <w:r>
              <w:rPr>
                <w:rFonts w:ascii="Arial" w:cs="Arial" w:eastAsia="Arial" w:hAnsi="Arial"/>
                <w:sz w:val="18"/>
                <w:szCs w:val="18"/>
                <w:color w:val="auto"/>
              </w:rPr>
              <w:t>BASIC AND DILUTED</w:t>
            </w:r>
          </w:p>
        </w:tc>
        <w:tc>
          <w:tcPr>
            <w:tcW w:w="40" w:type="dxa"/>
            <w:vAlign w:val="bottom"/>
            <w:shd w:val="clear" w:color="auto" w:fill="CCEECC"/>
          </w:tcPr>
          <w:p>
            <w:pPr>
              <w:spacing w:after="0"/>
              <w:rPr>
                <w:sz w:val="22"/>
                <w:szCs w:val="22"/>
                <w:color w:val="auto"/>
              </w:rPr>
            </w:pPr>
          </w:p>
        </w:tc>
        <w:tc>
          <w:tcPr>
            <w:tcW w:w="140" w:type="dxa"/>
            <w:vAlign w:val="bottom"/>
            <w:shd w:val="clear" w:color="auto" w:fill="CCEECC"/>
          </w:tcPr>
          <w:p>
            <w:pPr>
              <w:spacing w:after="0"/>
              <w:rPr>
                <w:sz w:val="22"/>
                <w:szCs w:val="22"/>
                <w:color w:val="auto"/>
              </w:rPr>
            </w:pPr>
          </w:p>
        </w:tc>
        <w:tc>
          <w:tcPr>
            <w:tcW w:w="1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14,192,496</w:t>
            </w:r>
          </w:p>
        </w:tc>
        <w:tc>
          <w:tcPr>
            <w:tcW w:w="160" w:type="dxa"/>
            <w:vAlign w:val="bottom"/>
            <w:shd w:val="clear" w:color="auto" w:fill="CCEECC"/>
          </w:tcPr>
          <w:p>
            <w:pPr>
              <w:spacing w:after="0"/>
              <w:rPr>
                <w:sz w:val="22"/>
                <w:szCs w:val="22"/>
                <w:color w:val="auto"/>
              </w:rPr>
            </w:pPr>
          </w:p>
        </w:tc>
        <w:tc>
          <w:tcPr>
            <w:tcW w:w="120" w:type="dxa"/>
            <w:vAlign w:val="bottom"/>
            <w:shd w:val="clear" w:color="auto" w:fill="CCEECC"/>
          </w:tcPr>
          <w:p>
            <w:pPr>
              <w:spacing w:after="0"/>
              <w:rPr>
                <w:sz w:val="22"/>
                <w:szCs w:val="22"/>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13,869,202</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20" w:type="dxa"/>
            <w:vAlign w:val="bottom"/>
            <w:vMerge w:val="continue"/>
          </w:tcPr>
          <w:p>
            <w:pPr>
              <w:spacing w:after="0"/>
              <w:rPr>
                <w:sz w:val="21"/>
                <w:szCs w:val="21"/>
                <w:color w:val="auto"/>
              </w:rPr>
            </w:pPr>
          </w:p>
        </w:tc>
        <w:tc>
          <w:tcPr>
            <w:tcW w:w="5080" w:type="dxa"/>
            <w:vAlign w:val="bottom"/>
            <w:shd w:val="clear" w:color="auto" w:fill="CCEECC"/>
          </w:tcPr>
          <w:p>
            <w:pPr>
              <w:spacing w:after="0"/>
              <w:rPr>
                <w:sz w:val="20"/>
                <w:szCs w:val="20"/>
                <w:color w:val="auto"/>
              </w:rPr>
            </w:pPr>
            <w:r>
              <w:rPr>
                <w:rFonts w:ascii="Arial" w:cs="Arial" w:eastAsia="Arial" w:hAnsi="Arial"/>
                <w:sz w:val="18"/>
                <w:szCs w:val="18"/>
                <w:color w:val="auto"/>
              </w:rPr>
              <w:t>NET LOSS PER SHARE: BASIC AND DILUTED</w:t>
            </w:r>
          </w:p>
        </w:tc>
        <w:tc>
          <w:tcPr>
            <w:tcW w:w="40" w:type="dxa"/>
            <w:vAlign w:val="bottom"/>
            <w:shd w:val="clear" w:color="auto" w:fill="CCEECC"/>
          </w:tcPr>
          <w:p>
            <w:pPr>
              <w:spacing w:after="0"/>
              <w:rPr>
                <w:sz w:val="21"/>
                <w:szCs w:val="21"/>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(0.04)</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20" w:type="dxa"/>
            <w:vAlign w:val="bottom"/>
            <w:tcBorders>
              <w:top w:val="single" w:sz="8" w:color="CCEECC"/>
            </w:tcBorders>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CC"/>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6760" w:type="dxa"/>
            <w:vAlign w:val="bottom"/>
            <w:gridSpan w:val="7"/>
          </w:tcPr>
          <w:p>
            <w:pPr>
              <w:ind w:left="1320"/>
              <w:spacing w:after="0"/>
              <w:rPr>
                <w:sz w:val="20"/>
                <w:szCs w:val="20"/>
                <w:color w:val="auto"/>
              </w:rPr>
            </w:pPr>
            <w:r>
              <w:rPr>
                <w:rFonts w:ascii="Arial" w:cs="Arial" w:eastAsia="Arial" w:hAnsi="Arial"/>
                <w:sz w:val="18"/>
                <w:szCs w:val="18"/>
                <w:color w:val="auto"/>
                <w:w w:val="91"/>
              </w:rPr>
              <w:t>The accompanying notes are an integral part of these financial statements.</w:t>
            </w: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5080" w:type="dxa"/>
            <w:vAlign w:val="bottom"/>
          </w:tcPr>
          <w:p>
            <w:pPr>
              <w:ind w:left="3860"/>
              <w:spacing w:after="0"/>
              <w:rPr>
                <w:sz w:val="20"/>
                <w:szCs w:val="20"/>
                <w:color w:val="auto"/>
              </w:rPr>
            </w:pPr>
            <w:r>
              <w:rPr>
                <w:rFonts w:ascii="Arial" w:cs="Arial" w:eastAsia="Arial" w:hAnsi="Arial"/>
                <w:sz w:val="18"/>
                <w:szCs w:val="18"/>
                <w:color w:val="auto"/>
              </w:rPr>
              <w:t>F-2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SIX MONTHS ENDED JUNE 30, 2012 AND 2011</w:t>
      </w:r>
    </w:p>
    <w:p>
      <w:pPr>
        <w:spacing w:after="0" w:line="21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For the six</w:t>
            </w:r>
          </w:p>
        </w:tc>
        <w:tc>
          <w:tcPr>
            <w:tcW w:w="10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 the 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months ended</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June 30, 2012</w:t>
            </w:r>
          </w:p>
        </w:tc>
        <w:tc>
          <w:tcPr>
            <w:tcW w:w="10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30, 2011</w:t>
            </w:r>
          </w:p>
        </w:tc>
        <w:tc>
          <w:tcPr>
            <w:tcW w:w="0" w:type="dxa"/>
            <w:vAlign w:val="bottom"/>
          </w:tcPr>
          <w:p>
            <w:pPr>
              <w:spacing w:after="0"/>
              <w:rPr>
                <w:sz w:val="1"/>
                <w:szCs w:val="1"/>
                <w:color w:val="auto"/>
              </w:rPr>
            </w:pPr>
          </w:p>
        </w:tc>
      </w:tr>
      <w:tr>
        <w:trPr>
          <w:trHeight w:val="23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Sales</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844,826</w:t>
            </w:r>
          </w:p>
        </w:tc>
        <w:tc>
          <w:tcPr>
            <w:tcW w:w="120" w:type="dxa"/>
            <w:vAlign w:val="bottom"/>
            <w:shd w:val="clear" w:color="auto" w:fill="CCEECC"/>
          </w:tcPr>
          <w:p>
            <w:pPr>
              <w:spacing w:after="0"/>
              <w:rPr>
                <w:sz w:val="19"/>
                <w:szCs w:val="19"/>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594,017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CC"/>
          </w:tcPr>
          <w:p>
            <w:pPr>
              <w:ind w:left="94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844,826</w:t>
            </w:r>
          </w:p>
        </w:tc>
        <w:tc>
          <w:tcPr>
            <w:tcW w:w="1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594,017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CC"/>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1,221,952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1,254,935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102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940"/>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1,221,952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1,254,935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102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94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(377,126)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(660,918)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102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(280,098)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CC"/>
          </w:tcPr>
          <w:p>
            <w:pPr>
              <w:ind w:left="940"/>
              <w:spacing w:after="0"/>
              <w:rPr>
                <w:sz w:val="20"/>
                <w:szCs w:val="20"/>
                <w:color w:val="auto"/>
              </w:rPr>
            </w:pPr>
            <w:r>
              <w:rPr>
                <w:rFonts w:ascii="Arial" w:cs="Arial" w:eastAsia="Arial" w:hAnsi="Arial"/>
                <w:sz w:val="18"/>
                <w:szCs w:val="18"/>
                <w:color w:val="auto"/>
              </w:rPr>
              <w:t>TOTAL OTHER INCOME (EXPENSE)</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(279,197)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CC"/>
          </w:tcPr>
          <w:p>
            <w:pPr>
              <w:spacing w:after="0"/>
              <w:rPr>
                <w:sz w:val="20"/>
                <w:szCs w:val="20"/>
                <w:color w:val="auto"/>
              </w:rPr>
            </w:pPr>
            <w:r>
              <w:rPr>
                <w:rFonts w:ascii="Arial" w:cs="Arial" w:eastAsia="Arial" w:hAnsi="Arial"/>
                <w:sz w:val="18"/>
                <w:szCs w:val="18"/>
                <w:color w:val="auto"/>
                <w:w w:val="98"/>
              </w:rPr>
              <w:t>LOSS BEFORE PROVISION FOR INCOME TAXES</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(376,795)</w:t>
            </w: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(940,115)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EECC"/>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CCEECC"/>
          </w:tcPr>
          <w:p>
            <w:pPr>
              <w:ind w:left="940"/>
              <w:spacing w:after="0"/>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(376,795)</w:t>
            </w:r>
          </w:p>
        </w:tc>
        <w:tc>
          <w:tcPr>
            <w:tcW w:w="120" w:type="dxa"/>
            <w:vAlign w:val="bottom"/>
            <w:shd w:val="clear" w:color="auto" w:fill="CCEECC"/>
          </w:tcPr>
          <w:p>
            <w:pPr>
              <w:spacing w:after="0"/>
              <w:rPr>
                <w:sz w:val="21"/>
                <w:szCs w:val="21"/>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(940,115)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WEIGHTED AVERAGE NUMBER OF SHARES</w:t>
            </w:r>
          </w:p>
        </w:tc>
        <w:tc>
          <w:tcPr>
            <w:tcW w:w="2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CC"/>
          </w:tcPr>
          <w:p>
            <w:pPr>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CC"/>
          </w:tcPr>
          <w:p>
            <w:pPr>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CEECC"/>
          </w:tcPr>
          <w:p>
            <w:pPr>
              <w:spacing w:after="0"/>
              <w:rPr>
                <w:sz w:val="22"/>
                <w:szCs w:val="22"/>
                <w:color w:val="auto"/>
              </w:rPr>
            </w:pPr>
          </w:p>
        </w:tc>
        <w:tc>
          <w:tcPr>
            <w:tcW w:w="100" w:type="dxa"/>
            <w:vAlign w:val="bottom"/>
            <w:shd w:val="clear" w:color="auto" w:fill="CCEECC"/>
          </w:tcPr>
          <w:p>
            <w:pPr>
              <w:spacing w:after="0"/>
              <w:rPr>
                <w:sz w:val="22"/>
                <w:szCs w:val="22"/>
                <w:color w:val="auto"/>
              </w:rPr>
            </w:pPr>
          </w:p>
        </w:tc>
        <w:tc>
          <w:tcPr>
            <w:tcW w:w="11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14,192,496</w:t>
            </w:r>
          </w:p>
        </w:tc>
        <w:tc>
          <w:tcPr>
            <w:tcW w:w="120" w:type="dxa"/>
            <w:vAlign w:val="bottom"/>
            <w:shd w:val="clear" w:color="auto" w:fill="CCEECC"/>
          </w:tcPr>
          <w:p>
            <w:pPr>
              <w:spacing w:after="0"/>
              <w:rPr>
                <w:sz w:val="22"/>
                <w:szCs w:val="22"/>
                <w:color w:val="auto"/>
              </w:rPr>
            </w:pPr>
          </w:p>
        </w:tc>
        <w:tc>
          <w:tcPr>
            <w:tcW w:w="100" w:type="dxa"/>
            <w:vAlign w:val="bottom"/>
            <w:shd w:val="clear" w:color="auto" w:fill="CCEECC"/>
          </w:tcPr>
          <w:p>
            <w:pPr>
              <w:spacing w:after="0"/>
              <w:rPr>
                <w:sz w:val="22"/>
                <w:szCs w:val="22"/>
                <w:color w:val="auto"/>
              </w:rPr>
            </w:pPr>
          </w:p>
        </w:tc>
        <w:tc>
          <w:tcPr>
            <w:tcW w:w="11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13,749,300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EECC"/>
          </w:tcPr>
          <w:p>
            <w:pPr>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CC"/>
          </w:tcPr>
          <w:p>
            <w:pPr>
              <w:spacing w:after="0"/>
              <w:rPr>
                <w:sz w:val="21"/>
                <w:szCs w:val="21"/>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SIX MONTHS ENDED JUNE 30, 2012 AND 2011</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For the six</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For the 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June 30, 2012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June 30, 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CCEECC"/>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Net loss for the period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(376,795)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(940,115)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9"/>
              </w:rPr>
              <w:t>Adjustments to reconcile net loss to net cash used by operating</w:t>
            </w:r>
          </w:p>
        </w:tc>
        <w:tc>
          <w:tcPr>
            <w:tcW w:w="6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color w:val="auto"/>
              </w:rPr>
              <w:t>activities:</w:t>
            </w:r>
          </w:p>
        </w:tc>
        <w:tc>
          <w:tcPr>
            <w:tcW w:w="6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11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1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ind w:left="300"/>
              <w:spacing w:after="0" w:line="201" w:lineRule="exact"/>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93,352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Stock-based compensation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228,383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110,707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Amortization of debt discount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color w:val="auto"/>
              </w:rPr>
              <w:t>Changes in:</w:t>
            </w:r>
          </w:p>
        </w:tc>
        <w:tc>
          <w:tcPr>
            <w:tcW w:w="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(54,177)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62,347</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(158,502)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Accrued interest</w:t>
            </w:r>
          </w:p>
        </w:tc>
        <w:tc>
          <w:tcPr>
            <w:tcW w:w="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Deferred revenue</w:t>
            </w:r>
          </w:p>
        </w:tc>
        <w:tc>
          <w:tcPr>
            <w:tcW w:w="6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(53,529)</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(73,110)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NET CASH USED IN OPERATING ACTIVITIES</w:t>
            </w:r>
          </w:p>
        </w:tc>
        <w:tc>
          <w:tcPr>
            <w:tcW w:w="60" w:type="dxa"/>
            <w:vAlign w:val="bottom"/>
            <w:tcBorders>
              <w:bottom w:val="single" w:sz="8" w:color="CCEE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(375,700</w:t>
            </w:r>
          </w:p>
        </w:tc>
        <w:tc>
          <w:tcPr>
            <w:tcW w:w="6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(225,479</w:t>
            </w:r>
          </w:p>
        </w:tc>
        <w:tc>
          <w:tcPr>
            <w:tcW w:w="6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Purchases of property and equipment</w:t>
            </w:r>
          </w:p>
        </w:tc>
        <w:tc>
          <w:tcPr>
            <w:tcW w:w="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(2,230)</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Website site development costs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(53,725)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(82,850)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USED IN INVESTING ACTIVITIES</w:t>
            </w:r>
          </w:p>
        </w:tc>
        <w:tc>
          <w:tcPr>
            <w:tcW w:w="6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(55,955)</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(82,850)</w:t>
            </w:r>
          </w:p>
        </w:tc>
        <w:tc>
          <w:tcPr>
            <w:tcW w:w="6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color w:val="auto"/>
              </w:rPr>
              <w:t>NET DECREASE IN CASH AND CASH EQUIVALENTS</w:t>
            </w:r>
          </w:p>
        </w:tc>
        <w:tc>
          <w:tcPr>
            <w:tcW w:w="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(431,655)</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(308,329)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color w:val="auto"/>
              </w:rPr>
              <w:t>CASH AND CASH EQUIVALENTS - BEGINNING OF PERIOD</w:t>
            </w:r>
          </w:p>
        </w:tc>
        <w:tc>
          <w:tcPr>
            <w:tcW w:w="6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959,166</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1,278,094</w:t>
            </w:r>
          </w:p>
        </w:tc>
        <w:tc>
          <w:tcPr>
            <w:tcW w:w="6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527,511</w:t>
            </w:r>
          </w:p>
        </w:tc>
        <w:tc>
          <w:tcPr>
            <w:tcW w:w="2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969,765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Cash paid for interest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40" w:type="dxa"/>
            <w:vAlign w:val="bottom"/>
            <w:tcBorders>
              <w:top w:val="single" w:sz="8" w:color="CCEECC"/>
              <w:bottom w:val="single" w:sz="8" w:color="CCEECC"/>
            </w:tcBorders>
            <w:shd w:val="clear" w:color="auto" w:fill="CCEECC"/>
          </w:tcPr>
          <w:p>
            <w:pPr>
              <w:ind w:left="300"/>
              <w:spacing w:after="0" w:line="190" w:lineRule="exact"/>
              <w:rPr>
                <w:sz w:val="20"/>
                <w:szCs w:val="20"/>
                <w:color w:val="auto"/>
              </w:rPr>
            </w:pPr>
            <w:r>
              <w:rPr>
                <w:rFonts w:ascii="Arial" w:cs="Arial" w:eastAsia="Arial" w:hAnsi="Arial"/>
                <w:sz w:val="18"/>
                <w:szCs w:val="18"/>
                <w:color w:val="auto"/>
              </w:rPr>
              <w:t>Cash paid for income taxes</w:t>
            </w:r>
          </w:p>
        </w:tc>
        <w:tc>
          <w:tcPr>
            <w:tcW w:w="60" w:type="dxa"/>
            <w:vAlign w:val="bottom"/>
            <w:tcBorders>
              <w:top w:val="single" w:sz="8" w:color="CCEECC"/>
              <w:bottom w:val="single" w:sz="8" w:color="CCEECC"/>
            </w:tcBorders>
            <w:shd w:val="clear" w:color="auto" w:fill="CCEECC"/>
          </w:tcPr>
          <w:p>
            <w:pPr>
              <w:spacing w:after="0"/>
              <w:rPr>
                <w:sz w:val="17"/>
                <w:szCs w:val="17"/>
                <w:color w:val="auto"/>
              </w:rPr>
            </w:pPr>
          </w:p>
        </w:tc>
        <w:tc>
          <w:tcPr>
            <w:tcW w:w="1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7"/>
                <w:szCs w:val="17"/>
                <w:color w:val="auto"/>
              </w:rPr>
            </w:pPr>
          </w:p>
        </w:tc>
        <w:tc>
          <w:tcPr>
            <w:tcW w:w="16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rPr>
              <w:t>SUPPLEMENTAL DISCLOSURE OF NONCASH INVESTING</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AND FINANCING ACTIVITIES: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CC"/>
          </w:tcPr>
          <w:p>
            <w:pPr>
              <w:ind w:left="300"/>
              <w:spacing w:after="0" w:line="201" w:lineRule="exact"/>
              <w:rPr>
                <w:sz w:val="20"/>
                <w:szCs w:val="20"/>
                <w:color w:val="auto"/>
              </w:rPr>
            </w:pPr>
            <w:r>
              <w:rPr>
                <w:rFonts w:ascii="Arial" w:cs="Arial" w:eastAsia="Arial" w:hAnsi="Arial"/>
                <w:sz w:val="18"/>
                <w:szCs w:val="18"/>
                <w:color w:val="auto"/>
                <w:w w:val="95"/>
              </w:rPr>
              <w:t>Common stock issued to satisfy dividends related to preferred</w:t>
            </w:r>
          </w:p>
        </w:tc>
        <w:tc>
          <w:tcPr>
            <w:tcW w:w="6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stock</w:t>
            </w: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2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year ended December 31, 2011.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Certain accounts and financial statement captions in the prior periods have been reclassified to conform to the current period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fair value of cash, accounts receivable, prepaid expenses,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June 30, 2012 and 2011, respectively, since their effect is anti-dilutive.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June 30, 2012 and December 31, 2011: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2220" w:type="dxa"/>
            <w:vAlign w:val="bottom"/>
            <w:tcBorders>
              <w:bottom w:val="single" w:sz="8" w:color="CCEECC"/>
            </w:tcBorders>
          </w:tcPr>
          <w:p>
            <w:pPr>
              <w:spacing w:after="0"/>
              <w:rPr>
                <w:sz w:val="20"/>
                <w:szCs w:val="20"/>
                <w:color w:val="auto"/>
              </w:rPr>
            </w:pPr>
          </w:p>
        </w:tc>
        <w:tc>
          <w:tcPr>
            <w:tcW w:w="80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w:t>
            </w:r>
          </w:p>
        </w:tc>
        <w:tc>
          <w:tcPr>
            <w:tcW w:w="2840" w:type="dxa"/>
            <w:vAlign w:val="bottom"/>
          </w:tcPr>
          <w:p>
            <w:pPr>
              <w:spacing w:after="0"/>
              <w:rPr>
                <w:sz w:val="20"/>
                <w:szCs w:val="20"/>
                <w:color w:val="auto"/>
              </w:rPr>
            </w:pPr>
          </w:p>
        </w:tc>
      </w:tr>
      <w:tr>
        <w:trPr>
          <w:trHeight w:val="210"/>
        </w:trPr>
        <w:tc>
          <w:tcPr>
            <w:tcW w:w="2880" w:type="dxa"/>
            <w:vAlign w:val="bottom"/>
          </w:tcPr>
          <w:p>
            <w:pPr>
              <w:spacing w:after="0"/>
              <w:rPr>
                <w:sz w:val="18"/>
                <w:szCs w:val="18"/>
                <w:color w:val="auto"/>
              </w:rPr>
            </w:pPr>
          </w:p>
        </w:tc>
        <w:tc>
          <w:tcPr>
            <w:tcW w:w="222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Insurance</w:t>
            </w:r>
          </w:p>
        </w:tc>
        <w:tc>
          <w:tcPr>
            <w:tcW w:w="800" w:type="dxa"/>
            <w:vAlign w:val="bottom"/>
            <w:shd w:val="clear" w:color="auto" w:fill="CCEECC"/>
          </w:tcPr>
          <w:p>
            <w:pPr>
              <w:spacing w:after="0"/>
              <w:rPr>
                <w:sz w:val="18"/>
                <w:szCs w:val="18"/>
                <w:color w:val="auto"/>
              </w:rPr>
            </w:pPr>
          </w:p>
        </w:tc>
        <w:tc>
          <w:tcPr>
            <w:tcW w:w="260" w:type="dxa"/>
            <w:vAlign w:val="bottom"/>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8,078</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5,937</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Website maintenance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17,500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20" w:type="dxa"/>
            <w:vAlign w:val="bottom"/>
            <w:shd w:val="clear" w:color="auto" w:fill="CCEECC"/>
          </w:tcPr>
          <w:p>
            <w:pPr>
              <w:ind w:left="80"/>
              <w:spacing w:after="0"/>
              <w:rPr>
                <w:sz w:val="20"/>
                <w:szCs w:val="20"/>
                <w:color w:val="auto"/>
              </w:rPr>
            </w:pPr>
            <w:r>
              <w:rPr>
                <w:rFonts w:ascii="Arial" w:cs="Arial" w:eastAsia="Arial" w:hAnsi="Arial"/>
                <w:sz w:val="18"/>
                <w:szCs w:val="18"/>
                <w:color w:val="auto"/>
              </w:rPr>
              <w:t>Rent</w:t>
            </w:r>
          </w:p>
        </w:tc>
        <w:tc>
          <w:tcPr>
            <w:tcW w:w="80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Consulting</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91,811</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20" w:type="dxa"/>
            <w:vAlign w:val="bottom"/>
            <w:shd w:val="clear" w:color="auto" w:fill="CCEECC"/>
          </w:tcPr>
          <w:p>
            <w:pPr>
              <w:ind w:left="80"/>
              <w:spacing w:after="0"/>
              <w:rPr>
                <w:sz w:val="20"/>
                <w:szCs w:val="20"/>
                <w:color w:val="auto"/>
              </w:rPr>
            </w:pPr>
            <w:r>
              <w:rPr>
                <w:rFonts w:ascii="Arial" w:cs="Arial" w:eastAsia="Arial" w:hAnsi="Arial"/>
                <w:sz w:val="18"/>
                <w:szCs w:val="18"/>
                <w:color w:val="auto"/>
              </w:rPr>
              <w:t>Employee advances</w:t>
            </w:r>
          </w:p>
        </w:tc>
        <w:tc>
          <w:tcPr>
            <w:tcW w:w="80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1,826</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694</w:t>
            </w:r>
          </w:p>
        </w:tc>
        <w:tc>
          <w:tcPr>
            <w:tcW w:w="2840" w:type="dxa"/>
            <w:vAlign w:val="bottom"/>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222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Advertising</w:t>
            </w:r>
          </w:p>
        </w:tc>
        <w:tc>
          <w:tcPr>
            <w:tcW w:w="800" w:type="dxa"/>
            <w:vAlign w:val="bottom"/>
            <w:tcBorders>
              <w:bottom w:val="single" w:sz="8" w:color="CCEE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CEECC"/>
            </w:tcBorders>
          </w:tcPr>
          <w:p>
            <w:pPr>
              <w:spacing w:after="0"/>
              <w:rPr>
                <w:sz w:val="19"/>
                <w:szCs w:val="19"/>
                <w:color w:val="auto"/>
              </w:rPr>
            </w:pPr>
          </w:p>
        </w:tc>
        <w:tc>
          <w:tcPr>
            <w:tcW w:w="10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2840" w:type="dxa"/>
            <w:vAlign w:val="bottom"/>
          </w:tcPr>
          <w:p>
            <w:pPr>
              <w:spacing w:after="0"/>
              <w:rPr>
                <w:sz w:val="19"/>
                <w:szCs w:val="19"/>
                <w:color w:val="auto"/>
              </w:rPr>
            </w:pPr>
          </w:p>
        </w:tc>
      </w:tr>
      <w:tr>
        <w:trPr>
          <w:trHeight w:val="223"/>
        </w:trPr>
        <w:tc>
          <w:tcPr>
            <w:tcW w:w="2880" w:type="dxa"/>
            <w:vAlign w:val="bottom"/>
          </w:tcPr>
          <w:p>
            <w:pPr>
              <w:spacing w:after="0"/>
              <w:rPr>
                <w:sz w:val="19"/>
                <w:szCs w:val="19"/>
                <w:color w:val="auto"/>
              </w:rPr>
            </w:pPr>
          </w:p>
        </w:tc>
        <w:tc>
          <w:tcPr>
            <w:tcW w:w="222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rPr>
              <w:t>Total prepaid expenses</w:t>
            </w:r>
          </w:p>
        </w:tc>
        <w:tc>
          <w:tcPr>
            <w:tcW w:w="800" w:type="dxa"/>
            <w:vAlign w:val="bottom"/>
            <w:tcBorders>
              <w:bottom w:val="single" w:sz="8" w:color="CCEECC"/>
            </w:tcBorders>
            <w:shd w:val="clear" w:color="auto" w:fill="CCEECC"/>
          </w:tcPr>
          <w:p>
            <w:pPr>
              <w:spacing w:after="0"/>
              <w:rPr>
                <w:sz w:val="19"/>
                <w:szCs w:val="19"/>
                <w:color w:val="auto"/>
              </w:rPr>
            </w:pPr>
          </w:p>
        </w:tc>
        <w:tc>
          <w:tcPr>
            <w:tcW w:w="260" w:type="dxa"/>
            <w:vAlign w:val="bottom"/>
            <w:tcBorders>
              <w:bottom w:val="single" w:sz="8" w:color="auto"/>
            </w:tcBorders>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56,686</w:t>
            </w:r>
          </w:p>
        </w:tc>
        <w:tc>
          <w:tcPr>
            <w:tcW w:w="6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CCEECC"/>
            </w:tcBorders>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119,032</w:t>
            </w:r>
          </w:p>
        </w:tc>
        <w:tc>
          <w:tcPr>
            <w:tcW w:w="284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86"/>
        </w:trPr>
        <w:tc>
          <w:tcPr>
            <w:tcW w:w="28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224"/>
        </w:trPr>
        <w:tc>
          <w:tcPr>
            <w:tcW w:w="28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60" w:type="dxa"/>
            <w:vAlign w:val="bottom"/>
            <w:gridSpan w:val="2"/>
          </w:tcPr>
          <w:p>
            <w:pPr>
              <w:jc w:val="right"/>
              <w:ind w:right="245"/>
              <w:spacing w:after="0"/>
              <w:rPr>
                <w:sz w:val="20"/>
                <w:szCs w:val="20"/>
                <w:color w:val="auto"/>
              </w:rPr>
            </w:pPr>
            <w:r>
              <w:rPr>
                <w:rFonts w:ascii="Arial" w:cs="Arial" w:eastAsia="Arial" w:hAnsi="Arial"/>
                <w:sz w:val="18"/>
                <w:szCs w:val="18"/>
                <w:color w:val="auto"/>
              </w:rPr>
              <w:t>F-7</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June 30, 2012 and December 31, 2011:</w:t>
      </w:r>
    </w:p>
    <w:p>
      <w:pPr>
        <w:spacing w:after="0" w:line="239"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2620" w:type="dxa"/>
            <w:vAlign w:val="bottom"/>
            <w:tcBorders>
              <w:bottom w:val="single" w:sz="8" w:color="CCEECC"/>
            </w:tcBorders>
          </w:tcPr>
          <w:p>
            <w:pPr>
              <w:spacing w:after="0"/>
              <w:rPr>
                <w:sz w:val="20"/>
                <w:szCs w:val="20"/>
                <w:color w:val="auto"/>
              </w:rPr>
            </w:pPr>
          </w:p>
        </w:tc>
        <w:tc>
          <w:tcPr>
            <w:tcW w:w="38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auto"/>
            </w:tcBorders>
          </w:tcPr>
          <w:p>
            <w:pPr>
              <w:spacing w:after="0"/>
              <w:rPr>
                <w:sz w:val="20"/>
                <w:szCs w:val="20"/>
                <w:color w:val="auto"/>
              </w:rPr>
            </w:pPr>
          </w:p>
        </w:tc>
      </w:tr>
      <w:tr>
        <w:trPr>
          <w:trHeight w:val="210"/>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Computer equipment</w:t>
            </w:r>
          </w:p>
        </w:tc>
        <w:tc>
          <w:tcPr>
            <w:tcW w:w="38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260" w:type="dxa"/>
            <w:vAlign w:val="bottom"/>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20,130</w:t>
            </w:r>
          </w:p>
        </w:tc>
        <w:tc>
          <w:tcPr>
            <w:tcW w:w="80" w:type="dxa"/>
            <w:vAlign w:val="bottom"/>
            <w:shd w:val="clear" w:color="auto" w:fill="CCEECC"/>
          </w:tcPr>
          <w:p>
            <w:pPr>
              <w:spacing w:after="0"/>
              <w:rPr>
                <w:sz w:val="18"/>
                <w:szCs w:val="18"/>
                <w:color w:val="auto"/>
              </w:rPr>
            </w:pPr>
          </w:p>
        </w:tc>
      </w:tr>
      <w:tr>
        <w:trPr>
          <w:trHeight w:val="230"/>
        </w:trPr>
        <w:tc>
          <w:tcPr>
            <w:tcW w:w="262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Furniture and fixtures</w:t>
            </w:r>
          </w:p>
        </w:tc>
        <w:tc>
          <w:tcPr>
            <w:tcW w:w="38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Borders>
              <w:bottom w:val="single" w:sz="8" w:color="CCEECC"/>
            </w:tcBorders>
          </w:tcPr>
          <w:p>
            <w:pPr>
              <w:spacing w:after="0"/>
              <w:rPr>
                <w:sz w:val="19"/>
                <w:szCs w:val="19"/>
                <w:color w:val="auto"/>
              </w:rPr>
            </w:pPr>
          </w:p>
        </w:tc>
        <w:tc>
          <w:tcPr>
            <w:tcW w:w="120" w:type="dxa"/>
            <w:vAlign w:val="bottom"/>
            <w:tcBorders>
              <w:bottom w:val="single" w:sz="8" w:color="CCEE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80" w:type="dxa"/>
            <w:vAlign w:val="bottom"/>
            <w:tcBorders>
              <w:bottom w:val="single" w:sz="8" w:color="CCEECC"/>
            </w:tcBorders>
          </w:tcPr>
          <w:p>
            <w:pPr>
              <w:spacing w:after="0"/>
              <w:rPr>
                <w:sz w:val="19"/>
                <w:szCs w:val="19"/>
                <w:color w:val="auto"/>
              </w:rPr>
            </w:pPr>
          </w:p>
        </w:tc>
      </w:tr>
      <w:tr>
        <w:trPr>
          <w:trHeight w:val="210"/>
        </w:trPr>
        <w:tc>
          <w:tcPr>
            <w:tcW w:w="2620" w:type="dxa"/>
            <w:vAlign w:val="bottom"/>
            <w:shd w:val="clear" w:color="auto" w:fill="CCEECC"/>
          </w:tcPr>
          <w:p>
            <w:pPr>
              <w:ind w:left="260"/>
              <w:spacing w:after="0"/>
              <w:rPr>
                <w:sz w:val="20"/>
                <w:szCs w:val="20"/>
                <w:color w:val="auto"/>
              </w:rPr>
            </w:pPr>
            <w:r>
              <w:rPr>
                <w:rFonts w:ascii="Arial" w:cs="Arial" w:eastAsia="Arial" w:hAnsi="Arial"/>
                <w:sz w:val="18"/>
                <w:szCs w:val="18"/>
                <w:color w:val="auto"/>
              </w:rPr>
              <w:t>Subtotal</w:t>
            </w:r>
          </w:p>
        </w:tc>
        <w:tc>
          <w:tcPr>
            <w:tcW w:w="38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31,218</w:t>
            </w:r>
          </w:p>
        </w:tc>
        <w:tc>
          <w:tcPr>
            <w:tcW w:w="80" w:type="dxa"/>
            <w:vAlign w:val="bottom"/>
            <w:shd w:val="clear" w:color="auto" w:fill="CCEECC"/>
          </w:tcPr>
          <w:p>
            <w:pPr>
              <w:spacing w:after="0"/>
              <w:rPr>
                <w:sz w:val="18"/>
                <w:szCs w:val="18"/>
                <w:color w:val="auto"/>
              </w:rPr>
            </w:pPr>
          </w:p>
        </w:tc>
      </w:tr>
      <w:tr>
        <w:trPr>
          <w:trHeight w:val="230"/>
        </w:trPr>
        <w:tc>
          <w:tcPr>
            <w:tcW w:w="2620" w:type="dxa"/>
            <w:vAlign w:val="bottom"/>
          </w:tcPr>
          <w:p>
            <w:pPr>
              <w:ind w:left="80"/>
              <w:spacing w:after="0"/>
              <w:rPr>
                <w:sz w:val="20"/>
                <w:szCs w:val="20"/>
                <w:color w:val="auto"/>
              </w:rPr>
            </w:pPr>
            <w:r>
              <w:rPr>
                <w:rFonts w:ascii="Arial" w:cs="Arial" w:eastAsia="Arial" w:hAnsi="Arial"/>
                <w:sz w:val="18"/>
                <w:szCs w:val="18"/>
                <w:color w:val="auto"/>
              </w:rPr>
              <w:t>Accumulated depreciation</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(7,287)</w:t>
            </w:r>
          </w:p>
        </w:tc>
      </w:tr>
      <w:tr>
        <w:trPr>
          <w:trHeight w:val="223"/>
        </w:trPr>
        <w:tc>
          <w:tcPr>
            <w:tcW w:w="2620" w:type="dxa"/>
            <w:vAlign w:val="bottom"/>
            <w:tcBorders>
              <w:top w:val="single" w:sz="8" w:color="CCEECC"/>
              <w:bottom w:val="single" w:sz="8" w:color="CCEECC"/>
            </w:tcBorders>
            <w:shd w:val="clear" w:color="auto" w:fill="CCEECC"/>
          </w:tcPr>
          <w:p>
            <w:pPr>
              <w:ind w:left="2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CCEECC"/>
              <w:bottom w:val="single" w:sz="8" w:color="CCEECC"/>
            </w:tcBorders>
            <w:shd w:val="clear" w:color="auto" w:fill="CCEECC"/>
          </w:tcPr>
          <w:p>
            <w:pPr>
              <w:spacing w:after="0"/>
              <w:rPr>
                <w:sz w:val="19"/>
                <w:szCs w:val="19"/>
                <w:color w:val="auto"/>
              </w:rPr>
            </w:pPr>
          </w:p>
        </w:tc>
        <w:tc>
          <w:tcPr>
            <w:tcW w:w="280" w:type="dxa"/>
            <w:vAlign w:val="bottom"/>
            <w:tcBorders>
              <w:top w:val="single" w:sz="8" w:color="auto"/>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23,449</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260" w:type="dxa"/>
            <w:vAlign w:val="bottom"/>
            <w:tcBorders>
              <w:top w:val="single" w:sz="8" w:color="auto"/>
              <w:bottom w:val="single" w:sz="8" w:color="auto"/>
            </w:tcBorders>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23,931</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$2,712 and $906 for the six months ended June 30, 2012 and 2011,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WEBSITE DEVELOPMENT COSTS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their website and web-based products, which consisted of the following as of June 30, 2012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24"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278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auto"/>
            </w:tcBorders>
          </w:tcPr>
          <w:p>
            <w:pPr>
              <w:spacing w:after="0"/>
              <w:rPr>
                <w:sz w:val="20"/>
                <w:szCs w:val="20"/>
                <w:color w:val="auto"/>
              </w:rPr>
            </w:pPr>
          </w:p>
        </w:tc>
      </w:tr>
      <w:tr>
        <w:trPr>
          <w:trHeight w:val="210"/>
        </w:trPr>
        <w:tc>
          <w:tcPr>
            <w:tcW w:w="2780" w:type="dxa"/>
            <w:vAlign w:val="bottom"/>
            <w:shd w:val="clear" w:color="auto" w:fill="CCEECC"/>
          </w:tcPr>
          <w:p>
            <w:pPr>
              <w:ind w:left="80"/>
              <w:spacing w:after="0"/>
              <w:rPr>
                <w:sz w:val="20"/>
                <w:szCs w:val="20"/>
                <w:color w:val="auto"/>
              </w:rPr>
            </w:pPr>
            <w:r>
              <w:rPr>
                <w:rFonts w:ascii="Arial" w:cs="Arial" w:eastAsia="Arial" w:hAnsi="Arial"/>
                <w:sz w:val="18"/>
                <w:szCs w:val="18"/>
                <w:color w:val="auto"/>
              </w:rPr>
              <w:t>OptimizeRx web development</w:t>
            </w:r>
          </w:p>
        </w:tc>
        <w:tc>
          <w:tcPr>
            <w:tcW w:w="20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80" w:type="dxa"/>
            <w:vAlign w:val="bottom"/>
            <w:shd w:val="clear" w:color="auto" w:fill="CCEECC"/>
          </w:tcPr>
          <w:p>
            <w:pPr>
              <w:spacing w:after="0"/>
              <w:rPr>
                <w:sz w:val="18"/>
                <w:szCs w:val="18"/>
                <w:color w:val="auto"/>
              </w:rPr>
            </w:pPr>
          </w:p>
        </w:tc>
      </w:tr>
      <w:tr>
        <w:trPr>
          <w:trHeight w:val="230"/>
        </w:trPr>
        <w:tc>
          <w:tcPr>
            <w:tcW w:w="278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SampleMD web development</w:t>
            </w:r>
          </w:p>
        </w:tc>
        <w:tc>
          <w:tcPr>
            <w:tcW w:w="20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607,602</w:t>
            </w:r>
          </w:p>
        </w:tc>
        <w:tc>
          <w:tcPr>
            <w:tcW w:w="60" w:type="dxa"/>
            <w:vAlign w:val="bottom"/>
            <w:tcBorders>
              <w:bottom w:val="single" w:sz="8" w:color="CCEECC"/>
            </w:tcBorders>
          </w:tcPr>
          <w:p>
            <w:pPr>
              <w:spacing w:after="0"/>
              <w:rPr>
                <w:sz w:val="19"/>
                <w:szCs w:val="19"/>
                <w:color w:val="auto"/>
              </w:rPr>
            </w:pPr>
          </w:p>
        </w:tc>
        <w:tc>
          <w:tcPr>
            <w:tcW w:w="10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553,877</w:t>
            </w:r>
          </w:p>
        </w:tc>
        <w:tc>
          <w:tcPr>
            <w:tcW w:w="80" w:type="dxa"/>
            <w:vAlign w:val="bottom"/>
            <w:tcBorders>
              <w:bottom w:val="single" w:sz="8" w:color="CCEECC"/>
            </w:tcBorders>
          </w:tcPr>
          <w:p>
            <w:pPr>
              <w:spacing w:after="0"/>
              <w:rPr>
                <w:sz w:val="19"/>
                <w:szCs w:val="19"/>
                <w:color w:val="auto"/>
              </w:rPr>
            </w:pPr>
          </w:p>
        </w:tc>
      </w:tr>
      <w:tr>
        <w:trPr>
          <w:trHeight w:val="210"/>
        </w:trPr>
        <w:tc>
          <w:tcPr>
            <w:tcW w:w="2780" w:type="dxa"/>
            <w:vAlign w:val="bottom"/>
            <w:shd w:val="clear" w:color="auto" w:fill="CCEECC"/>
          </w:tcPr>
          <w:p>
            <w:pPr>
              <w:ind w:left="220"/>
              <w:spacing w:after="0"/>
              <w:rPr>
                <w:sz w:val="20"/>
                <w:szCs w:val="20"/>
                <w:color w:val="auto"/>
              </w:rPr>
            </w:pPr>
            <w:r>
              <w:rPr>
                <w:rFonts w:ascii="Arial" w:cs="Arial" w:eastAsia="Arial" w:hAnsi="Arial"/>
                <w:sz w:val="18"/>
                <w:szCs w:val="18"/>
                <w:color w:val="auto"/>
                <w:w w:val="96"/>
              </w:rPr>
              <w:t>Subtotal, web development costs</w:t>
            </w:r>
          </w:p>
        </w:tc>
        <w:tc>
          <w:tcPr>
            <w:tcW w:w="2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761,735</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708,010</w:t>
            </w:r>
          </w:p>
        </w:tc>
        <w:tc>
          <w:tcPr>
            <w:tcW w:w="80" w:type="dxa"/>
            <w:vAlign w:val="bottom"/>
            <w:shd w:val="clear" w:color="auto" w:fill="CCEECC"/>
          </w:tcPr>
          <w:p>
            <w:pPr>
              <w:spacing w:after="0"/>
              <w:rPr>
                <w:sz w:val="18"/>
                <w:szCs w:val="18"/>
                <w:color w:val="auto"/>
              </w:rPr>
            </w:pPr>
          </w:p>
        </w:tc>
      </w:tr>
      <w:tr>
        <w:trPr>
          <w:trHeight w:val="216"/>
        </w:trPr>
        <w:tc>
          <w:tcPr>
            <w:tcW w:w="2780" w:type="dxa"/>
            <w:vAlign w:val="bottom"/>
          </w:tcPr>
          <w:p>
            <w:pPr>
              <w:ind w:left="80"/>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(246,717)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(183,429)</w:t>
            </w:r>
          </w:p>
        </w:tc>
      </w:tr>
      <w:tr>
        <w:trPr>
          <w:trHeight w:val="230"/>
        </w:trPr>
        <w:tc>
          <w:tcPr>
            <w:tcW w:w="2780" w:type="dxa"/>
            <w:vAlign w:val="bottom"/>
            <w:shd w:val="clear" w:color="auto" w:fill="CCEECC"/>
          </w:tcPr>
          <w:p>
            <w:pPr>
              <w:ind w:left="80"/>
              <w:spacing w:after="0"/>
              <w:rPr>
                <w:sz w:val="20"/>
                <w:szCs w:val="20"/>
                <w:color w:val="auto"/>
              </w:rPr>
            </w:pPr>
            <w:r>
              <w:rPr>
                <w:rFonts w:ascii="Arial" w:cs="Arial" w:eastAsia="Arial" w:hAnsi="Arial"/>
                <w:sz w:val="18"/>
                <w:szCs w:val="18"/>
                <w:color w:val="auto"/>
              </w:rPr>
              <w:t>Impairment</w:t>
            </w:r>
          </w:p>
        </w:tc>
        <w:tc>
          <w:tcPr>
            <w:tcW w:w="20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(59,083)</w:t>
            </w:r>
          </w:p>
        </w:tc>
        <w:tc>
          <w:tcPr>
            <w:tcW w:w="1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(59,083)</w:t>
            </w:r>
          </w:p>
        </w:tc>
      </w:tr>
      <w:tr>
        <w:trPr>
          <w:trHeight w:val="223"/>
        </w:trPr>
        <w:tc>
          <w:tcPr>
            <w:tcW w:w="2780" w:type="dxa"/>
            <w:vAlign w:val="bottom"/>
          </w:tcPr>
          <w:p>
            <w:pPr>
              <w:ind w:left="220"/>
              <w:spacing w:after="0"/>
              <w:rPr>
                <w:sz w:val="20"/>
                <w:szCs w:val="20"/>
                <w:color w:val="auto"/>
              </w:rPr>
            </w:pPr>
            <w:r>
              <w:rPr>
                <w:rFonts w:ascii="Arial" w:cs="Arial" w:eastAsia="Arial" w:hAnsi="Arial"/>
                <w:sz w:val="18"/>
                <w:szCs w:val="18"/>
                <w:color w:val="auto"/>
              </w:rPr>
              <w:t>Web development costs, net</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455,935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465,498</w:t>
            </w:r>
          </w:p>
        </w:tc>
        <w:tc>
          <w:tcPr>
            <w:tcW w:w="8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began amortizing the OptimizeRx website costs, using the straight-line method over the estimated useful life of 5 years, once it was put into service in December of 2007. During the year ended December 31, 2009, the Company began a new web-based project and the related programming and development costs have been capitalized for the SampleMD website. The project was completed in mid-December 2010 and no amortization was recorded in 2010. Amortization began on the straight-line method in January 2011 over the period of five years. Although the Project was completed in mid-December, the Company continues to enhance and upgrade the website. Monthly payments for these upgrades and enhancements have been capitalized and amortization was started by quarter in 2011 and continues in 2012. The Company determined that the original OptimizeRx website was no longer useful so the remaining unamortized balance of $59,083 was impaired as of December 31,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$63,288 and $31,841 for the six months ended June 30, 2012 and 2011,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RIGHTS AND INTANGIBLE ASSETS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RIGHTS AND INTANGIBLE ASSETS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the SampleMD patent, which consisted of the following as of June 30, 2012 and December 31, 2011:</w:t>
      </w:r>
    </w:p>
    <w:p>
      <w:pPr>
        <w:sectPr>
          <w:pgSz w:w="11900" w:h="16838" w:orient="portrait"/>
          <w:cols w:equalWidth="0" w:num="1">
            <w:col w:w="11420"/>
          </w:cols>
          <w:pgMar w:left="240" w:top="233" w:right="239" w:bottom="1440" w:gutter="0" w:footer="0" w:header="0"/>
        </w:sectPr>
      </w:pPr>
    </w:p>
    <w:p>
      <w:pPr>
        <w:spacing w:after="0" w:line="383" w:lineRule="exact"/>
        <w:rPr>
          <w:sz w:val="20"/>
          <w:szCs w:val="20"/>
          <w:color w:val="auto"/>
        </w:rPr>
      </w:pPr>
    </w:p>
    <w:p>
      <w:pPr>
        <w:ind w:left="2960"/>
        <w:spacing w:after="0"/>
        <w:tabs>
          <w:tab w:leader="none" w:pos="5840" w:val="left"/>
        </w:tabs>
        <w:rPr>
          <w:sz w:val="20"/>
          <w:szCs w:val="20"/>
          <w:color w:val="auto"/>
        </w:rPr>
      </w:pPr>
      <w:r>
        <w:rPr>
          <w:rFonts w:ascii="Arial" w:cs="Arial" w:eastAsia="Arial" w:hAnsi="Arial"/>
          <w:sz w:val="18"/>
          <w:szCs w:val="18"/>
          <w:color w:val="auto"/>
        </w:rPr>
        <w:t>Patent rights and intangible assets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-130175</wp:posOffset>
            </wp:positionV>
            <wp:extent cx="361886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spacing w:after="0" w:line="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Accumulated amortization</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Patent rights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-107315</wp:posOffset>
            </wp:positionV>
            <wp:extent cx="361886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470"/>
              <w:spacing w:after="0"/>
              <w:rPr>
                <w:sz w:val="20"/>
                <w:szCs w:val="20"/>
                <w:color w:val="auto"/>
              </w:rPr>
            </w:pPr>
            <w:r>
              <w:rPr>
                <w:rFonts w:ascii="Arial" w:cs="Arial" w:eastAsia="Arial" w:hAnsi="Arial"/>
                <w:sz w:val="18"/>
                <w:szCs w:val="18"/>
                <w:color w:val="auto"/>
                <w:w w:val="84"/>
              </w:rPr>
              <w:t>2012</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auto"/>
            </w:tcBorders>
          </w:tcPr>
          <w:p>
            <w:pPr>
              <w:spacing w:after="0"/>
              <w:rPr>
                <w:sz w:val="20"/>
                <w:szCs w:val="20"/>
                <w:color w:val="auto"/>
              </w:rPr>
            </w:pPr>
          </w:p>
        </w:tc>
      </w:tr>
      <w:tr>
        <w:trPr>
          <w:trHeight w:val="195"/>
        </w:trPr>
        <w:tc>
          <w:tcPr>
            <w:tcW w:w="9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930,000</w:t>
            </w:r>
          </w:p>
        </w:tc>
        <w:tc>
          <w:tcPr>
            <w:tcW w:w="2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930,000</w:t>
            </w:r>
          </w:p>
        </w:tc>
        <w:tc>
          <w:tcPr>
            <w:tcW w:w="80" w:type="dxa"/>
            <w:vAlign w:val="bottom"/>
          </w:tcPr>
          <w:p>
            <w:pPr>
              <w:spacing w:after="0"/>
              <w:rPr>
                <w:sz w:val="16"/>
                <w:szCs w:val="16"/>
                <w:color w:val="auto"/>
              </w:rPr>
            </w:pPr>
          </w:p>
        </w:tc>
      </w:tr>
      <w:tr>
        <w:trPr>
          <w:trHeight w:val="244"/>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(109,411)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(82,059)</w:t>
            </w:r>
          </w:p>
        </w:tc>
      </w:tr>
      <w:tr>
        <w:trPr>
          <w:trHeight w:val="223"/>
        </w:trPr>
        <w:tc>
          <w:tcPr>
            <w:tcW w:w="920" w:type="dxa"/>
            <w:vAlign w:val="bottom"/>
          </w:tcPr>
          <w:p>
            <w:pPr>
              <w:jc w:val="right"/>
              <w:ind w:right="70"/>
              <w:spacing w:after="0"/>
              <w:rPr>
                <w:sz w:val="20"/>
                <w:szCs w:val="20"/>
                <w:color w:val="auto"/>
              </w:rPr>
            </w:pPr>
            <w:r>
              <w:rPr>
                <w:rFonts w:ascii="Arial" w:cs="Arial" w:eastAsia="Arial" w:hAnsi="Arial"/>
                <w:sz w:val="18"/>
                <w:szCs w:val="18"/>
                <w:color w:val="auto"/>
              </w:rPr>
              <w:t>820,589</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847,941</w:t>
            </w:r>
          </w:p>
        </w:tc>
        <w:tc>
          <w:tcPr>
            <w:tcW w:w="8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-8255</wp:posOffset>
            </wp:positionV>
            <wp:extent cx="7804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380"/>
            <w:col w:w="5080"/>
          </w:cols>
          <w:pgMar w:left="240" w:top="233"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Company began amortizing the patent, using the straight-line method over the estimated useful life of 17 years, once it was put into service in July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$27,352 and $27,353 for the six months ended June 30, 2012 and 2011,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ACCRUED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as of June 30, 2012 and December 31, 2011:</w:t>
      </w:r>
    </w:p>
    <w:p>
      <w:pPr>
        <w:spacing w:after="0" w:line="131"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p>
        </w:tc>
        <w:tc>
          <w:tcPr>
            <w:tcW w:w="1580" w:type="dxa"/>
            <w:vAlign w:val="bottom"/>
            <w:gridSpan w:val="2"/>
          </w:tcPr>
          <w:p>
            <w:pPr>
              <w:jc w:val="right"/>
              <w:ind w:right="65"/>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0"/>
                <w:szCs w:val="20"/>
                <w:color w:val="auto"/>
              </w:rPr>
            </w:pPr>
          </w:p>
        </w:tc>
      </w:tr>
      <w:tr>
        <w:trPr>
          <w:trHeight w:val="210"/>
        </w:trPr>
        <w:tc>
          <w:tcPr>
            <w:tcW w:w="2400" w:type="dxa"/>
            <w:vAlign w:val="bottom"/>
            <w:tcBorders>
              <w:top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rPr>
              <w:t>Accrued payroll taxes</w:t>
            </w:r>
          </w:p>
        </w:tc>
        <w:tc>
          <w:tcPr>
            <w:tcW w:w="620" w:type="dxa"/>
            <w:vAlign w:val="bottom"/>
            <w:tcBorders>
              <w:top w:val="single" w:sz="8" w:color="CCEECC"/>
            </w:tcBorders>
            <w:shd w:val="clear" w:color="auto" w:fill="CCEECC"/>
          </w:tcPr>
          <w:p>
            <w:pPr>
              <w:spacing w:after="0"/>
              <w:rPr>
                <w:sz w:val="18"/>
                <w:szCs w:val="18"/>
                <w:color w:val="auto"/>
              </w:rPr>
            </w:pPr>
          </w:p>
        </w:tc>
        <w:tc>
          <w:tcPr>
            <w:tcW w:w="960" w:type="dxa"/>
            <w:vAlign w:val="bottom"/>
            <w:tcBorders>
              <w:top w:val="single" w:sz="8" w:color="auto"/>
            </w:tcBorders>
            <w:shd w:val="clear" w:color="auto" w:fill="CCEECC"/>
          </w:tcPr>
          <w:p>
            <w:pPr>
              <w:jc w:val="right"/>
              <w:ind w:right="80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auto"/>
            </w:tcBorders>
            <w:shd w:val="clear" w:color="auto" w:fill="CCEECC"/>
          </w:tcPr>
          <w:p>
            <w:pPr>
              <w:spacing w:after="0"/>
              <w:rPr>
                <w:sz w:val="18"/>
                <w:szCs w:val="18"/>
                <w:color w:val="auto"/>
              </w:rPr>
            </w:pPr>
          </w:p>
        </w:tc>
      </w:tr>
      <w:tr>
        <w:trPr>
          <w:trHeight w:val="216"/>
        </w:trPr>
        <w:tc>
          <w:tcPr>
            <w:tcW w:w="2400" w:type="dxa"/>
            <w:vAlign w:val="bottom"/>
          </w:tcPr>
          <w:p>
            <w:pPr>
              <w:ind w:left="80"/>
              <w:spacing w:after="0"/>
              <w:rPr>
                <w:sz w:val="20"/>
                <w:szCs w:val="20"/>
                <w:color w:val="auto"/>
              </w:rPr>
            </w:pPr>
            <w:r>
              <w:rPr>
                <w:rFonts w:ascii="Arial" w:cs="Arial" w:eastAsia="Arial" w:hAnsi="Arial"/>
                <w:sz w:val="18"/>
                <w:szCs w:val="18"/>
                <w:color w:val="auto"/>
              </w:rPr>
              <w:t>Accrued bonuses</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60,000</w:t>
            </w:r>
          </w:p>
        </w:tc>
        <w:tc>
          <w:tcPr>
            <w:tcW w:w="60" w:type="dxa"/>
            <w:vAlign w:val="bottom"/>
          </w:tcPr>
          <w:p>
            <w:pPr>
              <w:spacing w:after="0"/>
              <w:rPr>
                <w:sz w:val="18"/>
                <w:szCs w:val="18"/>
                <w:color w:val="auto"/>
              </w:rPr>
            </w:pPr>
          </w:p>
        </w:tc>
      </w:tr>
      <w:tr>
        <w:trPr>
          <w:trHeight w:val="230"/>
        </w:trPr>
        <w:tc>
          <w:tcPr>
            <w:tcW w:w="2400" w:type="dxa"/>
            <w:vAlign w:val="bottom"/>
            <w:shd w:val="clear" w:color="auto" w:fill="CCEECC"/>
          </w:tcPr>
          <w:p>
            <w:pPr>
              <w:ind w:left="80"/>
              <w:spacing w:after="0"/>
              <w:rPr>
                <w:sz w:val="20"/>
                <w:szCs w:val="20"/>
                <w:color w:val="auto"/>
              </w:rPr>
            </w:pPr>
            <w:r>
              <w:rPr>
                <w:rFonts w:ascii="Arial" w:cs="Arial" w:eastAsia="Arial" w:hAnsi="Arial"/>
                <w:sz w:val="18"/>
                <w:szCs w:val="18"/>
                <w:color w:val="auto"/>
              </w:rPr>
              <w:t>Accrued audit fees</w:t>
            </w:r>
          </w:p>
        </w:tc>
        <w:tc>
          <w:tcPr>
            <w:tcW w:w="620" w:type="dxa"/>
            <w:vAlign w:val="bottom"/>
            <w:shd w:val="clear" w:color="auto" w:fill="CCEECC"/>
          </w:tcPr>
          <w:p>
            <w:pPr>
              <w:spacing w:after="0"/>
              <w:rPr>
                <w:sz w:val="19"/>
                <w:szCs w:val="19"/>
                <w:color w:val="auto"/>
              </w:rPr>
            </w:pPr>
          </w:p>
        </w:tc>
        <w:tc>
          <w:tcPr>
            <w:tcW w:w="960" w:type="dxa"/>
            <w:vAlign w:val="bottom"/>
            <w:tcBorders>
              <w:bottom w:val="single" w:sz="8" w:color="auto"/>
            </w:tcBorders>
            <w:shd w:val="clear" w:color="auto" w:fill="CCEECC"/>
          </w:tcPr>
          <w:p>
            <w:pPr>
              <w:spacing w:after="0"/>
              <w:rPr>
                <w:sz w:val="19"/>
                <w:szCs w:val="19"/>
                <w:color w:val="auto"/>
              </w:rPr>
            </w:pPr>
          </w:p>
        </w:tc>
        <w:tc>
          <w:tcPr>
            <w:tcW w:w="2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60" w:type="dxa"/>
            <w:vAlign w:val="bottom"/>
            <w:tcBorders>
              <w:bottom w:val="single" w:sz="8" w:color="auto"/>
            </w:tcBorders>
            <w:shd w:val="clear" w:color="auto" w:fill="CCEECC"/>
          </w:tcPr>
          <w:p>
            <w:pPr>
              <w:spacing w:after="0"/>
              <w:rPr>
                <w:sz w:val="19"/>
                <w:szCs w:val="19"/>
                <w:color w:val="auto"/>
              </w:rPr>
            </w:pPr>
          </w:p>
        </w:tc>
        <w:tc>
          <w:tcPr>
            <w:tcW w:w="9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6,000</w:t>
            </w:r>
          </w:p>
        </w:tc>
        <w:tc>
          <w:tcPr>
            <w:tcW w:w="60" w:type="dxa"/>
            <w:vAlign w:val="bottom"/>
            <w:shd w:val="clear" w:color="auto" w:fill="CCEECC"/>
          </w:tcPr>
          <w:p>
            <w:pPr>
              <w:spacing w:after="0"/>
              <w:rPr>
                <w:sz w:val="19"/>
                <w:szCs w:val="19"/>
                <w:color w:val="auto"/>
              </w:rPr>
            </w:pPr>
          </w:p>
        </w:tc>
      </w:tr>
      <w:tr>
        <w:trPr>
          <w:trHeight w:val="223"/>
        </w:trPr>
        <w:tc>
          <w:tcPr>
            <w:tcW w:w="2400" w:type="dxa"/>
            <w:vAlign w:val="bottom"/>
          </w:tcPr>
          <w:p>
            <w:pPr>
              <w:ind w:left="120"/>
              <w:spacing w:after="0"/>
              <w:rPr>
                <w:sz w:val="20"/>
                <w:szCs w:val="20"/>
                <w:color w:val="auto"/>
              </w:rPr>
            </w:pPr>
            <w:r>
              <w:rPr>
                <w:rFonts w:ascii="Arial" w:cs="Arial" w:eastAsia="Arial" w:hAnsi="Arial"/>
                <w:sz w:val="18"/>
                <w:szCs w:val="18"/>
                <w:color w:val="auto"/>
              </w:rPr>
              <w:t>Total accrued expenses</w:t>
            </w:r>
          </w:p>
        </w:tc>
        <w:tc>
          <w:tcPr>
            <w:tcW w:w="620" w:type="dxa"/>
            <w:vAlign w:val="bottom"/>
          </w:tcPr>
          <w:p>
            <w:pPr>
              <w:spacing w:after="0"/>
              <w:rPr>
                <w:sz w:val="19"/>
                <w:szCs w:val="19"/>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66,000</w:t>
            </w:r>
          </w:p>
        </w:tc>
        <w:tc>
          <w:tcPr>
            <w:tcW w:w="60" w:type="dxa"/>
            <w:vAlign w:val="bottom"/>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8 – DEFERRED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signed several contracts with customers for coupon redemptions on their website. The payments are not taken into revenue until the end user redeems the coupon. The redemptions are tracked via their website and revenues are recorded as the coupons are redeemed. Additionally, customer setup contracts that have been paid in full are deferred until the Company has completed the obligations of the contracts. Deferred revenue was $277,076 and $330,605 as of June 30, 2012 and December 31, 2011,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has 500,000,000 shares of $.001 par value common stock authorized as of June 30,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2011, the Company entered into a settlement agreement with Midtown Partners. Under the settlement agreement, the Company will pay Midtown Partners $57,500 and grant 100,000 shares of its common stock. The cost of the settlement has been recorded as equity issuance costs. As a result of the settlement, the litigation in the Eastern District of Michigan was dismissed.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2011, the Company issued 475,820 shares of common stock to satisfy $500,000 of preferred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14,192,496 common shares issued and outstanding at June 30, 2012 and December 31, 2011, respectively.</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1,500,000 shares of common stock and bear a 10% cumulative dividend. In addition, there was a warrant issued to purchase 2,000,000 shares of common stock at an exercise price of $3 for a period of seven years.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1,500,000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 (continued)</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March 25, 2011, the Company’s Board declared and issued 75,758 common shares for its semi-annual dividend payment. On September 21, 2011, the Company's Board declared and issued 66,988 common shares for its semi-annual dividend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 2010, the Company issued 25,000 stock options to an employee with a vesting period of one year and an exercise price of $1.21. The options were valued on the grant date using the Black-Scholes option-pricing model with the following assumptions: dividend yield of 0%, expected volatility of 241%, risk-free interest rate of 1.26% and expected life of 60 months. The Company recognized share-based compensation expense of $6,203 during the year ended December 31, 2010 with the remaining balance of $18,610 recognized in 2011.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27, 2011, the Company issued 100,000 stock options to an individual at an exercise price of $0.73. The options were valued on the grant date using the Black-Scholes option-pricing model with the following assumptions: dividend yield of 0%, expected volatility of 221%, risk-free interest rate of 2.06% and expected life of 60 months. The agreement is for a period of six months. The Company recognized expenses of $83,992 during the year ended December 31, 2011.</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 AND WARRANTS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of $133,580 has been recognized during the six months ended June 30, 2012.</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there was a warrant issued to purchase 1,000,000 shares of common stock at an exercise price of $3 for a period of seven years. In addition, 15 preferred shares were issued to an investor for $1,500,000. The 15 shares are convertible to 1,500,000 shares of common stock and bear a 10% cumulative dividend. Based on the fair values of the preferred stock and common stock warrants on the issue date, $855,460 was allocated to preferred stock and $644,540 was allocated to the common stock warrants. See Note 10.</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during the year ended December 31, 2011 and $9,633 during the six months ended June 30, 2012. The remaining balance of $7,154 will be recognized over the next six months.</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total value of the options was $100,157. The Company recognized expenses of $8,346 during the year ended December 31, 2011 and $50,078 during the six months ended June 30, 2012. The remaining balance will be recognized over the current year.</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17, 2012, the Company issued 50,000 stock options to 4 non-employees at an exercise price of $0.89. The options were valued on the grant date using the Black-Scholes option-pricing model with the following assumptions: dividend yield of 0%, expected volatility of 198%, risk-free interest rate of 0.65% and expected life of 48 months. The total value of the options was $35,091. The options vest over 4 months. The Company recognized expenses of $35,091 during the six months ended June 30,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12 – OPERATING LEASES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 and the first six month renewal: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3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Twelve months ended June 30, 2013</w:t>
            </w:r>
          </w:p>
        </w:tc>
        <w:tc>
          <w:tcPr>
            <w:tcW w:w="820" w:type="dxa"/>
            <w:vAlign w:val="bottom"/>
            <w:gridSpan w:val="2"/>
            <w:shd w:val="clear" w:color="auto" w:fill="CCEECC"/>
          </w:tcPr>
          <w:p>
            <w:pPr>
              <w:jc w:val="right"/>
              <w:ind w:right="5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60,591</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700" w:type="dxa"/>
            <w:vAlign w:val="bottom"/>
          </w:tcPr>
          <w:p>
            <w:pPr>
              <w:jc w:val="right"/>
              <w:ind w:right="7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55,542</w:t>
            </w:r>
          </w:p>
        </w:tc>
        <w:tc>
          <w:tcPr>
            <w:tcW w:w="2840" w:type="dxa"/>
            <w:vAlign w:val="bottom"/>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370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CC"/>
          </w:tcPr>
          <w:p>
            <w:pPr>
              <w:spacing w:after="0"/>
              <w:rPr>
                <w:sz w:val="19"/>
                <w:szCs w:val="19"/>
                <w:color w:val="auto"/>
              </w:rPr>
            </w:pPr>
          </w:p>
        </w:tc>
        <w:tc>
          <w:tcPr>
            <w:tcW w:w="680" w:type="dxa"/>
            <w:vAlign w:val="bottom"/>
            <w:tcBorders>
              <w:bottom w:val="single" w:sz="8" w:color="auto"/>
            </w:tcBorders>
            <w:shd w:val="clear" w:color="auto" w:fill="CCEECC"/>
          </w:tcPr>
          <w:p>
            <w:pPr>
              <w:spacing w:after="0"/>
              <w:rPr>
                <w:sz w:val="19"/>
                <w:szCs w:val="19"/>
                <w:color w:val="auto"/>
              </w:rPr>
            </w:pPr>
          </w:p>
        </w:tc>
        <w:tc>
          <w:tcPr>
            <w:tcW w:w="11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2840" w:type="dxa"/>
            <w:vAlign w:val="bottom"/>
          </w:tcPr>
          <w:p>
            <w:pPr>
              <w:spacing w:after="0"/>
              <w:rPr>
                <w:sz w:val="19"/>
                <w:szCs w:val="19"/>
                <w:color w:val="auto"/>
              </w:rPr>
            </w:pPr>
          </w:p>
        </w:tc>
      </w:tr>
      <w:tr>
        <w:trPr>
          <w:trHeight w:val="223"/>
        </w:trPr>
        <w:tc>
          <w:tcPr>
            <w:tcW w:w="2880" w:type="dxa"/>
            <w:vAlign w:val="bottom"/>
          </w:tcPr>
          <w:p>
            <w:pPr>
              <w:spacing w:after="0"/>
              <w:rPr>
                <w:sz w:val="19"/>
                <w:szCs w:val="19"/>
                <w:color w:val="auto"/>
              </w:rPr>
            </w:pPr>
          </w:p>
        </w:tc>
        <w:tc>
          <w:tcPr>
            <w:tcW w:w="3700" w:type="dxa"/>
            <w:vAlign w:val="bottom"/>
          </w:tcPr>
          <w:p>
            <w:pPr>
              <w:jc w:val="right"/>
              <w:ind w:right="50"/>
              <w:spacing w:after="0"/>
              <w:rPr>
                <w:sz w:val="20"/>
                <w:szCs w:val="20"/>
                <w:color w:val="auto"/>
              </w:rPr>
            </w:pPr>
            <w:r>
              <w:rPr>
                <w:rFonts w:ascii="Arial" w:cs="Arial" w:eastAsia="Arial" w:hAnsi="Arial"/>
                <w:sz w:val="18"/>
                <w:szCs w:val="18"/>
                <w:color w:val="auto"/>
              </w:rPr>
              <w:t>Total lease commitment</w:t>
            </w: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116,133</w:t>
            </w:r>
          </w:p>
        </w:tc>
        <w:tc>
          <w:tcPr>
            <w:tcW w:w="284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86"/>
        </w:trPr>
        <w:tc>
          <w:tcPr>
            <w:tcW w:w="28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224"/>
        </w:trPr>
        <w:tc>
          <w:tcPr>
            <w:tcW w:w="2880" w:type="dxa"/>
            <w:vAlign w:val="bottom"/>
          </w:tcPr>
          <w:p>
            <w:pPr>
              <w:spacing w:after="0"/>
              <w:rPr>
                <w:sz w:val="19"/>
                <w:szCs w:val="19"/>
                <w:color w:val="auto"/>
              </w:rPr>
            </w:pPr>
          </w:p>
        </w:tc>
        <w:tc>
          <w:tcPr>
            <w:tcW w:w="3700" w:type="dxa"/>
            <w:vAlign w:val="bottom"/>
          </w:tcPr>
          <w:p>
            <w:pPr>
              <w:jc w:val="right"/>
              <w:ind w:right="610"/>
              <w:spacing w:after="0"/>
              <w:rPr>
                <w:sz w:val="20"/>
                <w:szCs w:val="20"/>
                <w:color w:val="auto"/>
              </w:rPr>
            </w:pPr>
            <w:r>
              <w:rPr>
                <w:rFonts w:ascii="Arial" w:cs="Arial" w:eastAsia="Arial" w:hAnsi="Arial"/>
                <w:sz w:val="18"/>
                <w:szCs w:val="18"/>
                <w:color w:val="auto"/>
              </w:rPr>
              <w:t>F-12</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13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two major customers that accounted for 53% and one major customer that accounted for 50% of the Company’s revenues for the six months ended June 30, 2012 and 2011, respectively. The Company expects to continue to maintain these relationships with the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six months ended June 30, 2012, the Company incurred a net loss of approximately $377,000 and therefore has no tax liability. The Company began operations in 2007 and has previous net operating loss carry-forwards of $13,479,000 through December 31, 2011. The cumulative loss of $13,856,000 will be carried forward and can be used through the year 2032 to offset future taxable income. In the future, the cumulative net operating loss carry-forward for income tax purposes may differ from the cumulative financial statement loss due to timing differences between book and tax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six months ended June 30, 2012 and 2011:</w:t>
      </w:r>
    </w:p>
    <w:p>
      <w:pPr>
        <w:spacing w:after="0" w:line="239"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0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auto"/>
            </w:tcBorders>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2900" w:type="dxa"/>
            <w:vAlign w:val="bottom"/>
            <w:shd w:val="clear" w:color="auto" w:fill="CCEECC"/>
          </w:tcPr>
          <w:p>
            <w:pPr>
              <w:spacing w:after="0" w:line="182" w:lineRule="exact"/>
              <w:rPr>
                <w:sz w:val="20"/>
                <w:szCs w:val="20"/>
                <w:color w:val="auto"/>
              </w:rPr>
            </w:pPr>
            <w:r>
              <w:rPr>
                <w:rFonts w:ascii="Arial" w:cs="Arial" w:eastAsia="Arial" w:hAnsi="Arial"/>
                <w:sz w:val="18"/>
                <w:szCs w:val="18"/>
                <w:color w:val="auto"/>
                <w:w w:val="94"/>
              </w:rPr>
              <w:t>Federal income tax benefit attributable</w:t>
            </w:r>
          </w:p>
        </w:tc>
        <w:tc>
          <w:tcPr>
            <w:tcW w:w="80" w:type="dxa"/>
            <w:vAlign w:val="bottom"/>
            <w:shd w:val="clear" w:color="auto" w:fill="CCEECC"/>
          </w:tcPr>
          <w:p>
            <w:pPr>
              <w:spacing w:after="0"/>
              <w:rPr>
                <w:sz w:val="15"/>
                <w:szCs w:val="15"/>
                <w:color w:val="auto"/>
              </w:rPr>
            </w:pPr>
          </w:p>
        </w:tc>
        <w:tc>
          <w:tcPr>
            <w:tcW w:w="280" w:type="dxa"/>
            <w:vAlign w:val="bottom"/>
            <w:shd w:val="clear" w:color="auto" w:fill="CCEECC"/>
          </w:tcPr>
          <w:p>
            <w:pPr>
              <w:spacing w:after="0"/>
              <w:rPr>
                <w:sz w:val="15"/>
                <w:szCs w:val="15"/>
                <w:color w:val="auto"/>
              </w:rPr>
            </w:pPr>
          </w:p>
        </w:tc>
        <w:tc>
          <w:tcPr>
            <w:tcW w:w="96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0" w:type="dxa"/>
            <w:vAlign w:val="bottom"/>
            <w:shd w:val="clear" w:color="auto" w:fill="CCEECC"/>
          </w:tcPr>
          <w:p>
            <w:pPr>
              <w:spacing w:after="0"/>
              <w:rPr>
                <w:sz w:val="15"/>
                <w:szCs w:val="15"/>
                <w:color w:val="auto"/>
              </w:rPr>
            </w:pPr>
          </w:p>
        </w:tc>
        <w:tc>
          <w:tcPr>
            <w:tcW w:w="20" w:type="dxa"/>
            <w:vAlign w:val="bottom"/>
            <w:shd w:val="clear" w:color="auto" w:fill="CCEECC"/>
          </w:tcPr>
          <w:p>
            <w:pPr>
              <w:spacing w:after="0"/>
              <w:rPr>
                <w:sz w:val="15"/>
                <w:szCs w:val="15"/>
                <w:color w:val="auto"/>
              </w:rPr>
            </w:pPr>
          </w:p>
        </w:tc>
        <w:tc>
          <w:tcPr>
            <w:tcW w:w="260" w:type="dxa"/>
            <w:vAlign w:val="bottom"/>
            <w:shd w:val="clear" w:color="auto" w:fill="CCEECC"/>
          </w:tcPr>
          <w:p>
            <w:pPr>
              <w:spacing w:after="0"/>
              <w:rPr>
                <w:sz w:val="15"/>
                <w:szCs w:val="15"/>
                <w:color w:val="auto"/>
              </w:rPr>
            </w:pPr>
          </w:p>
        </w:tc>
        <w:tc>
          <w:tcPr>
            <w:tcW w:w="9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CC"/>
          </w:tcPr>
          <w:p>
            <w:pPr>
              <w:spacing w:after="0"/>
              <w:rPr>
                <w:sz w:val="20"/>
                <w:szCs w:val="20"/>
                <w:color w:val="auto"/>
              </w:rPr>
            </w:pPr>
            <w:r>
              <w:rPr>
                <w:rFonts w:ascii="Arial" w:cs="Arial" w:eastAsia="Arial" w:hAnsi="Arial"/>
                <w:sz w:val="18"/>
                <w:szCs w:val="18"/>
                <w:color w:val="auto"/>
              </w:rPr>
              <w:t>to:</w:t>
            </w:r>
          </w:p>
        </w:tc>
        <w:tc>
          <w:tcPr>
            <w:tcW w:w="8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9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60" w:type="dxa"/>
            <w:vAlign w:val="bottom"/>
            <w:shd w:val="clear" w:color="auto" w:fill="CCEECC"/>
          </w:tcPr>
          <w:p>
            <w:pPr>
              <w:spacing w:after="0"/>
              <w:rPr>
                <w:sz w:val="20"/>
                <w:szCs w:val="20"/>
                <w:color w:val="auto"/>
              </w:rPr>
            </w:pPr>
          </w:p>
        </w:tc>
        <w:tc>
          <w:tcPr>
            <w:tcW w:w="9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Current operations</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900" w:type="dxa"/>
            <w:vAlign w:val="bottom"/>
            <w:shd w:val="clear" w:color="auto" w:fill="CCEECC"/>
          </w:tcPr>
          <w:p>
            <w:pPr>
              <w:ind w:left="20"/>
              <w:spacing w:after="0"/>
              <w:rPr>
                <w:sz w:val="20"/>
                <w:szCs w:val="20"/>
                <w:color w:val="auto"/>
              </w:rPr>
            </w:pPr>
            <w:r>
              <w:rPr>
                <w:rFonts w:ascii="Arial" w:cs="Arial" w:eastAsia="Arial" w:hAnsi="Arial"/>
                <w:sz w:val="18"/>
                <w:szCs w:val="18"/>
                <w:color w:val="auto"/>
              </w:rPr>
              <w:t>Valuation allowance</w:t>
            </w:r>
          </w:p>
        </w:tc>
        <w:tc>
          <w:tcPr>
            <w:tcW w:w="8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(128,000)</w:t>
            </w:r>
          </w:p>
        </w:tc>
        <w:tc>
          <w:tcPr>
            <w:tcW w:w="1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(220,000)</w:t>
            </w:r>
          </w:p>
        </w:tc>
      </w:tr>
      <w:tr>
        <w:trPr>
          <w:trHeight w:val="223"/>
        </w:trPr>
        <w:tc>
          <w:tcPr>
            <w:tcW w:w="20" w:type="dxa"/>
            <w:vAlign w:val="bottom"/>
          </w:tcPr>
          <w:p>
            <w:pPr>
              <w:spacing w:after="0"/>
              <w:rPr>
                <w:sz w:val="19"/>
                <w:szCs w:val="19"/>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w w:val="94"/>
              </w:rPr>
              <w:t>Net provision for federal income tax</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tax effect at the expected rate of 34% of significant items comprising our net deferred tax amount is as follows as of June 30, 2012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24"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80" w:type="dxa"/>
            <w:vAlign w:val="bottom"/>
            <w:tcBorders>
              <w:bottom w:val="single" w:sz="8" w:color="CCEECC"/>
            </w:tcBorders>
          </w:tcPr>
          <w:p>
            <w:pPr>
              <w:spacing w:after="0"/>
              <w:rPr>
                <w:sz w:val="20"/>
                <w:szCs w:val="20"/>
                <w:color w:val="auto"/>
              </w:rPr>
            </w:pPr>
          </w:p>
        </w:tc>
        <w:tc>
          <w:tcPr>
            <w:tcW w:w="30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CC"/>
          </w:tcPr>
          <w:p>
            <w:pPr>
              <w:spacing w:after="0"/>
              <w:rPr>
                <w:sz w:val="20"/>
                <w:szCs w:val="20"/>
                <w:color w:val="auto"/>
              </w:rPr>
            </w:pPr>
            <w:r>
              <w:rPr>
                <w:rFonts w:ascii="Arial" w:cs="Arial" w:eastAsia="Arial" w:hAnsi="Arial"/>
                <w:sz w:val="18"/>
                <w:szCs w:val="18"/>
                <w:color w:val="auto"/>
                <w:w w:val="99"/>
              </w:rPr>
              <w:t>Deferred tax asset attributable to:</w:t>
            </w:r>
          </w:p>
        </w:tc>
        <w:tc>
          <w:tcPr>
            <w:tcW w:w="3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Net operating loss carryover</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4,711,000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4,583,000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680" w:type="dxa"/>
            <w:vAlign w:val="bottom"/>
            <w:shd w:val="clear" w:color="auto" w:fill="CCEECC"/>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(4,711,000)</w:t>
            </w:r>
          </w:p>
        </w:tc>
        <w:tc>
          <w:tcPr>
            <w:tcW w:w="1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(4,583,000)</w:t>
            </w:r>
          </w:p>
        </w:tc>
      </w:tr>
      <w:tr>
        <w:trPr>
          <w:trHeight w:val="223"/>
        </w:trPr>
        <w:tc>
          <w:tcPr>
            <w:tcW w:w="20" w:type="dxa"/>
            <w:vAlign w:val="bottom"/>
          </w:tcPr>
          <w:p>
            <w:pPr>
              <w:spacing w:after="0"/>
              <w:rPr>
                <w:sz w:val="19"/>
                <w:szCs w:val="19"/>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Net deferred tax asset</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$13,856,000 for Federal income tax reporting purposes are subject to annual limitations. Should a change in ownership occur, net operating loss carry forwards may be limited as to use in future years.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three months and six months ended June 30, 2012 and 2011, respectively:</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jc w:val="right"/>
              <w:ind w:right="300"/>
              <w:spacing w:after="0"/>
              <w:rPr>
                <w:sz w:val="20"/>
                <w:szCs w:val="20"/>
                <w:color w:val="auto"/>
              </w:rPr>
            </w:pPr>
            <w:r>
              <w:rPr>
                <w:rFonts w:ascii="Arial" w:cs="Arial" w:eastAsia="Arial" w:hAnsi="Arial"/>
                <w:sz w:val="18"/>
                <w:szCs w:val="18"/>
                <w:color w:val="auto"/>
                <w:w w:val="93"/>
              </w:rPr>
              <w:t>Three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20"/>
                <w:szCs w:val="20"/>
                <w:color w:val="auto"/>
              </w:rPr>
            </w:pPr>
          </w:p>
        </w:tc>
        <w:tc>
          <w:tcPr>
            <w:tcW w:w="206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color w:val="auto"/>
                <w:w w:val="91"/>
              </w:rPr>
              <w:t>Six months ended June 30,</w:t>
            </w:r>
          </w:p>
        </w:tc>
      </w:tr>
      <w:tr>
        <w:trPr>
          <w:trHeight w:val="222"/>
        </w:trPr>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9"/>
                <w:szCs w:val="19"/>
                <w:color w:val="auto"/>
              </w:rPr>
            </w:pPr>
          </w:p>
        </w:tc>
      </w:tr>
      <w:tr>
        <w:trPr>
          <w:trHeight w:val="230"/>
        </w:trPr>
        <w:tc>
          <w:tcPr>
            <w:tcW w:w="368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0"/>
              </w:rPr>
              <w:t>(restated)</w:t>
            </w:r>
          </w:p>
        </w:tc>
        <w:tc>
          <w:tcPr>
            <w:tcW w:w="16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(restated)</w:t>
            </w:r>
          </w:p>
        </w:tc>
      </w:tr>
      <w:tr>
        <w:trPr>
          <w:trHeight w:val="210"/>
        </w:trPr>
        <w:tc>
          <w:tcPr>
            <w:tcW w:w="36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Advertising</w:t>
            </w: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32,651</w:t>
            </w:r>
          </w:p>
        </w:tc>
        <w:tc>
          <w:tcPr>
            <w:tcW w:w="16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118,530</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43,921</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305,795</w:t>
            </w:r>
          </w:p>
        </w:tc>
      </w:tr>
      <w:tr>
        <w:trPr>
          <w:trHeight w:val="216"/>
        </w:trPr>
        <w:tc>
          <w:tcPr>
            <w:tcW w:w="3680" w:type="dxa"/>
            <w:vAlign w:val="bottom"/>
          </w:tcPr>
          <w:p>
            <w:pPr>
              <w:ind w:left="10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34,632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22,683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72,635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128,897</w:t>
            </w:r>
          </w:p>
        </w:tc>
      </w:tr>
      <w:tr>
        <w:trPr>
          <w:trHeight w:val="216"/>
        </w:trPr>
        <w:tc>
          <w:tcPr>
            <w:tcW w:w="36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Consulting</w:t>
            </w:r>
          </w:p>
        </w:tc>
        <w:tc>
          <w:tcPr>
            <w:tcW w:w="200" w:type="dxa"/>
            <w:vAlign w:val="bottom"/>
            <w:shd w:val="clear" w:color="auto" w:fill="CCEECC"/>
          </w:tcPr>
          <w:p>
            <w:pPr>
              <w:spacing w:after="0"/>
              <w:rPr>
                <w:sz w:val="18"/>
                <w:szCs w:val="18"/>
                <w:color w:val="auto"/>
              </w:rPr>
            </w:pPr>
          </w:p>
        </w:tc>
        <w:tc>
          <w:tcPr>
            <w:tcW w:w="7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1,220</w:t>
            </w:r>
          </w:p>
        </w:tc>
        <w:tc>
          <w:tcPr>
            <w:tcW w:w="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35,326</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7,835</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82,101</w:t>
            </w:r>
          </w:p>
        </w:tc>
      </w:tr>
      <w:tr>
        <w:trPr>
          <w:trHeight w:val="216"/>
        </w:trPr>
        <w:tc>
          <w:tcPr>
            <w:tcW w:w="3680" w:type="dxa"/>
            <w:vAlign w:val="bottom"/>
          </w:tcPr>
          <w:p>
            <w:pPr>
              <w:ind w:left="100"/>
              <w:spacing w:after="0"/>
              <w:rPr>
                <w:sz w:val="20"/>
                <w:szCs w:val="20"/>
                <w:color w:val="auto"/>
              </w:rPr>
            </w:pPr>
            <w:r>
              <w:rPr>
                <w:rFonts w:ascii="Arial" w:cs="Arial" w:eastAsia="Arial" w:hAnsi="Arial"/>
                <w:sz w:val="18"/>
                <w:szCs w:val="18"/>
                <w:color w:val="auto"/>
              </w:rPr>
              <w:t>Salaries, wages and benefits</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294,570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194,912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601,465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383,626</w:t>
            </w:r>
          </w:p>
        </w:tc>
      </w:tr>
      <w:tr>
        <w:trPr>
          <w:trHeight w:val="216"/>
        </w:trPr>
        <w:tc>
          <w:tcPr>
            <w:tcW w:w="36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Rent</w:t>
            </w:r>
          </w:p>
        </w:tc>
        <w:tc>
          <w:tcPr>
            <w:tcW w:w="200" w:type="dxa"/>
            <w:vAlign w:val="bottom"/>
            <w:shd w:val="clear" w:color="auto" w:fill="CCEECC"/>
          </w:tcPr>
          <w:p>
            <w:pPr>
              <w:spacing w:after="0"/>
              <w:rPr>
                <w:sz w:val="18"/>
                <w:szCs w:val="18"/>
                <w:color w:val="auto"/>
              </w:rPr>
            </w:pPr>
          </w:p>
        </w:tc>
        <w:tc>
          <w:tcPr>
            <w:tcW w:w="7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15,148</w:t>
            </w:r>
          </w:p>
        </w:tc>
        <w:tc>
          <w:tcPr>
            <w:tcW w:w="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7,500</w:t>
            </w: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32,066</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36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47,329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30,050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93,352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60,100</w:t>
            </w:r>
          </w:p>
        </w:tc>
      </w:tr>
      <w:tr>
        <w:trPr>
          <w:trHeight w:val="216"/>
        </w:trPr>
        <w:tc>
          <w:tcPr>
            <w:tcW w:w="36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CC"/>
          </w:tcPr>
          <w:p>
            <w:pPr>
              <w:spacing w:after="0"/>
              <w:rPr>
                <w:sz w:val="18"/>
                <w:szCs w:val="18"/>
                <w:color w:val="auto"/>
              </w:rPr>
            </w:pPr>
          </w:p>
        </w:tc>
        <w:tc>
          <w:tcPr>
            <w:tcW w:w="7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100,835</w:t>
            </w:r>
          </w:p>
        </w:tc>
        <w:tc>
          <w:tcPr>
            <w:tcW w:w="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110,707</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228,383</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110,707</w:t>
            </w:r>
          </w:p>
        </w:tc>
      </w:tr>
      <w:tr>
        <w:trPr>
          <w:trHeight w:val="230"/>
        </w:trPr>
        <w:tc>
          <w:tcPr>
            <w:tcW w:w="36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65,243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100,946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142,295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168,709</w:t>
            </w:r>
          </w:p>
        </w:tc>
      </w:tr>
      <w:tr>
        <w:trPr>
          <w:trHeight w:val="223"/>
        </w:trPr>
        <w:tc>
          <w:tcPr>
            <w:tcW w:w="3680" w:type="dxa"/>
            <w:vAlign w:val="bottom"/>
            <w:tcBorders>
              <w:top w:val="single" w:sz="8" w:color="CCEECC"/>
              <w:bottom w:val="single" w:sz="8" w:color="CCEECC"/>
            </w:tcBorders>
            <w:shd w:val="clear" w:color="auto" w:fill="CCEECC"/>
          </w:tcPr>
          <w:p>
            <w:pPr>
              <w:ind w:left="2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591,628</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620,654</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2"/>
              </w:rPr>
              <w:t>1,221,952</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4"/>
              </w:rPr>
              <w:t>1,254,935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17 – RESTATEMENT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restated its Consolidated Statement of Operations and its Consolidated Statement of Cash Flows for the three months and six months ended June 30, 2011 to correct an error in its accounting. The Company did not originally accrue expenses related to advertising, marketing and employee bonuses during that period.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gridSpan w:val="2"/>
          </w:tcPr>
          <w:p>
            <w:pPr>
              <w:jc w:val="right"/>
              <w:ind w:right="250"/>
              <w:spacing w:after="0"/>
              <w:rPr>
                <w:sz w:val="20"/>
                <w:szCs w:val="20"/>
                <w:color w:val="auto"/>
              </w:rPr>
            </w:pPr>
            <w:r>
              <w:rPr>
                <w:rFonts w:ascii="Arial" w:cs="Arial" w:eastAsia="Arial" w:hAnsi="Arial"/>
                <w:sz w:val="18"/>
                <w:szCs w:val="18"/>
                <w:color w:val="auto"/>
              </w:rPr>
              <w:t>Six months ended</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June 30, 2011</w:t>
            </w:r>
          </w:p>
        </w:tc>
        <w:tc>
          <w:tcPr>
            <w:tcW w:w="2280" w:type="dxa"/>
            <w:vAlign w:val="bottom"/>
          </w:tcPr>
          <w:p>
            <w:pPr>
              <w:spacing w:after="0"/>
              <w:rPr>
                <w:sz w:val="20"/>
                <w:szCs w:val="20"/>
                <w:color w:val="auto"/>
              </w:rPr>
            </w:pPr>
          </w:p>
        </w:tc>
      </w:tr>
      <w:tr>
        <w:trPr>
          <w:trHeight w:val="195"/>
        </w:trPr>
        <w:tc>
          <w:tcPr>
            <w:tcW w:w="2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93"/>
              </w:rPr>
              <w:t>Previously</w:t>
            </w:r>
          </w:p>
        </w:tc>
        <w:tc>
          <w:tcPr>
            <w:tcW w:w="2280" w:type="dxa"/>
            <w:vAlign w:val="bottom"/>
          </w:tcPr>
          <w:p>
            <w:pPr>
              <w:spacing w:after="0"/>
              <w:rPr>
                <w:sz w:val="16"/>
                <w:szCs w:val="16"/>
                <w:color w:val="auto"/>
              </w:rPr>
            </w:pPr>
          </w:p>
        </w:tc>
      </w:tr>
      <w:tr>
        <w:trPr>
          <w:trHeight w:val="230"/>
        </w:trPr>
        <w:tc>
          <w:tcPr>
            <w:tcW w:w="2300" w:type="dxa"/>
            <w:vAlign w:val="bottom"/>
          </w:tcPr>
          <w:p>
            <w:pPr>
              <w:spacing w:after="0"/>
              <w:rPr>
                <w:sz w:val="20"/>
                <w:szCs w:val="20"/>
                <w:color w:val="auto"/>
              </w:rPr>
            </w:pPr>
          </w:p>
        </w:tc>
        <w:tc>
          <w:tcPr>
            <w:tcW w:w="188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Financial Statement</w:t>
            </w:r>
          </w:p>
        </w:tc>
        <w:tc>
          <w:tcPr>
            <w:tcW w:w="3060" w:type="dxa"/>
            <w:vAlign w:val="bottom"/>
            <w:tcBorders>
              <w:bottom w:val="single" w:sz="8" w:color="CCEECC"/>
            </w:tcBorders>
            <w:gridSpan w:val="2"/>
          </w:tcPr>
          <w:p>
            <w:pPr>
              <w:ind w:left="140"/>
              <w:spacing w:after="0"/>
              <w:rPr>
                <w:sz w:val="20"/>
                <w:szCs w:val="20"/>
                <w:color w:val="auto"/>
              </w:rPr>
            </w:pPr>
            <w:r>
              <w:rPr>
                <w:rFonts w:ascii="Arial" w:cs="Arial" w:eastAsia="Arial" w:hAnsi="Arial"/>
                <w:sz w:val="18"/>
                <w:szCs w:val="18"/>
                <w:color w:val="auto"/>
              </w:rPr>
              <w:t>Line Item</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Corrected</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Stated</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188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30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w w:val="99"/>
              </w:rPr>
              <w:t>1,254,935</w:t>
            </w:r>
          </w:p>
        </w:tc>
        <w:tc>
          <w:tcPr>
            <w:tcW w:w="98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962,435</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Income statement</w:t>
            </w:r>
          </w:p>
        </w:tc>
        <w:tc>
          <w:tcPr>
            <w:tcW w:w="3060" w:type="dxa"/>
            <w:vAlign w:val="bottom"/>
            <w:gridSpan w:val="2"/>
          </w:tcPr>
          <w:p>
            <w:pPr>
              <w:ind w:left="140"/>
              <w:spacing w:after="0"/>
              <w:rPr>
                <w:sz w:val="20"/>
                <w:szCs w:val="20"/>
                <w:color w:val="auto"/>
              </w:rPr>
            </w:pPr>
            <w:r>
              <w:rPr>
                <w:rFonts w:ascii="Arial" w:cs="Arial" w:eastAsia="Arial" w:hAnsi="Arial"/>
                <w:sz w:val="18"/>
                <w:szCs w:val="18"/>
                <w:color w:val="auto"/>
              </w:rPr>
              <w:t>Loss from operations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(660,918)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(368,418)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88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30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w w:val="94"/>
              </w:rPr>
              <w:t>Loss before provision for income taxes</w:t>
            </w:r>
          </w:p>
        </w:tc>
        <w:tc>
          <w:tcPr>
            <w:tcW w:w="92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(940,115)</w:t>
            </w:r>
          </w:p>
        </w:tc>
        <w:tc>
          <w:tcPr>
            <w:tcW w:w="98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(647,615)</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Income statement</w:t>
            </w:r>
          </w:p>
        </w:tc>
        <w:tc>
          <w:tcPr>
            <w:tcW w:w="3060" w:type="dxa"/>
            <w:vAlign w:val="bottom"/>
            <w:gridSpan w:val="2"/>
          </w:tcPr>
          <w:p>
            <w:pPr>
              <w:ind w:left="14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(940,115)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(647,615)</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880" w:type="dxa"/>
            <w:vAlign w:val="bottom"/>
            <w:shd w:val="clear" w:color="auto" w:fill="CCEECC"/>
          </w:tcPr>
          <w:p>
            <w:pPr>
              <w:ind w:left="80"/>
              <w:spacing w:after="0"/>
              <w:rPr>
                <w:sz w:val="20"/>
                <w:szCs w:val="20"/>
                <w:color w:val="auto"/>
              </w:rPr>
            </w:pPr>
            <w:r>
              <w:rPr>
                <w:rFonts w:ascii="Arial" w:cs="Arial" w:eastAsia="Arial" w:hAnsi="Arial"/>
                <w:sz w:val="18"/>
                <w:szCs w:val="18"/>
                <w:color w:val="auto"/>
                <w:w w:val="93"/>
              </w:rPr>
              <w:t>Statement of cash flows</w:t>
            </w:r>
          </w:p>
        </w:tc>
        <w:tc>
          <w:tcPr>
            <w:tcW w:w="30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(940,115)</w:t>
            </w:r>
          </w:p>
        </w:tc>
        <w:tc>
          <w:tcPr>
            <w:tcW w:w="98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(647,615)</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w w:val="93"/>
              </w:rPr>
              <w:t>Statement of cash flows</w:t>
            </w:r>
          </w:p>
        </w:tc>
        <w:tc>
          <w:tcPr>
            <w:tcW w:w="3060" w:type="dxa"/>
            <w:vAlign w:val="bottom"/>
            <w:gridSpan w:val="2"/>
          </w:tcPr>
          <w:p>
            <w:pPr>
              <w:ind w:left="140"/>
              <w:spacing w:after="0"/>
              <w:rPr>
                <w:sz w:val="20"/>
                <w:szCs w:val="20"/>
                <w:color w:val="auto"/>
              </w:rPr>
            </w:pPr>
            <w:r>
              <w:rPr>
                <w:rFonts w:ascii="Arial" w:cs="Arial" w:eastAsia="Arial" w:hAnsi="Arial"/>
                <w:sz w:val="18"/>
                <w:szCs w:val="18"/>
                <w:color w:val="auto"/>
              </w:rPr>
              <w:t>Change in accounts payable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260,852</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(1,648)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880" w:type="dxa"/>
            <w:vAlign w:val="bottom"/>
            <w:shd w:val="clear" w:color="auto" w:fill="CCEECC"/>
          </w:tcPr>
          <w:p>
            <w:pPr>
              <w:ind w:left="80"/>
              <w:spacing w:after="0"/>
              <w:rPr>
                <w:sz w:val="20"/>
                <w:szCs w:val="20"/>
                <w:color w:val="auto"/>
              </w:rPr>
            </w:pPr>
            <w:r>
              <w:rPr>
                <w:rFonts w:ascii="Arial" w:cs="Arial" w:eastAsia="Arial" w:hAnsi="Arial"/>
                <w:sz w:val="18"/>
                <w:szCs w:val="18"/>
                <w:color w:val="auto"/>
                <w:w w:val="93"/>
              </w:rPr>
              <w:t>Statement of cash flows</w:t>
            </w:r>
          </w:p>
        </w:tc>
        <w:tc>
          <w:tcPr>
            <w:tcW w:w="306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Change in accrued expenses</w:t>
            </w:r>
          </w:p>
        </w:tc>
        <w:tc>
          <w:tcPr>
            <w:tcW w:w="92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25,000</w:t>
            </w:r>
          </w:p>
        </w:tc>
        <w:tc>
          <w:tcPr>
            <w:tcW w:w="98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(5,000)</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w w:val="93"/>
              </w:rPr>
              <w:t>Statement of cash flows</w:t>
            </w:r>
          </w:p>
        </w:tc>
        <w:tc>
          <w:tcPr>
            <w:tcW w:w="3060" w:type="dxa"/>
            <w:vAlign w:val="bottom"/>
            <w:gridSpan w:val="2"/>
          </w:tcPr>
          <w:p>
            <w:pPr>
              <w:ind w:left="140"/>
              <w:spacing w:after="0"/>
              <w:rPr>
                <w:sz w:val="20"/>
                <w:szCs w:val="20"/>
                <w:color w:val="auto"/>
              </w:rPr>
            </w:pPr>
            <w:r>
              <w:rPr>
                <w:rFonts w:ascii="Arial" w:cs="Arial" w:eastAsia="Arial" w:hAnsi="Arial"/>
                <w:sz w:val="18"/>
                <w:szCs w:val="18"/>
                <w:color w:val="auto"/>
              </w:rPr>
              <w:t>Change in payroll taxes payable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2280" w:type="dxa"/>
            <w:vAlign w:val="bottom"/>
          </w:tcPr>
          <w:p>
            <w:pPr>
              <w:spacing w:after="0"/>
              <w:rPr>
                <w:sz w:val="20"/>
                <w:szCs w:val="20"/>
                <w:color w:val="auto"/>
              </w:rPr>
            </w:pPr>
          </w:p>
        </w:tc>
      </w:tr>
      <w:tr>
        <w:trPr>
          <w:trHeight w:val="404"/>
        </w:trPr>
        <w:tc>
          <w:tcPr>
            <w:tcW w:w="2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2"/>
          </w:tcPr>
          <w:p>
            <w:pPr>
              <w:jc w:val="right"/>
              <w:ind w:right="150"/>
              <w:spacing w:after="0"/>
              <w:rPr>
                <w:sz w:val="20"/>
                <w:szCs w:val="20"/>
                <w:color w:val="auto"/>
              </w:rPr>
            </w:pPr>
            <w:r>
              <w:rPr>
                <w:rFonts w:ascii="Arial" w:cs="Arial" w:eastAsia="Arial" w:hAnsi="Arial"/>
                <w:sz w:val="18"/>
                <w:szCs w:val="18"/>
                <w:color w:val="auto"/>
                <w:w w:val="98"/>
              </w:rPr>
              <w:t>Three months ended</w:t>
            </w:r>
          </w:p>
        </w:tc>
        <w:tc>
          <w:tcPr>
            <w:tcW w:w="228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June 30, 2011</w:t>
            </w:r>
          </w:p>
        </w:tc>
        <w:tc>
          <w:tcPr>
            <w:tcW w:w="2280" w:type="dxa"/>
            <w:vAlign w:val="bottom"/>
          </w:tcPr>
          <w:p>
            <w:pPr>
              <w:spacing w:after="0"/>
              <w:rPr>
                <w:sz w:val="20"/>
                <w:szCs w:val="20"/>
                <w:color w:val="auto"/>
              </w:rPr>
            </w:pPr>
          </w:p>
        </w:tc>
      </w:tr>
      <w:tr>
        <w:trPr>
          <w:trHeight w:val="195"/>
        </w:trPr>
        <w:tc>
          <w:tcPr>
            <w:tcW w:w="2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93"/>
              </w:rPr>
              <w:t>Previously</w:t>
            </w:r>
          </w:p>
        </w:tc>
        <w:tc>
          <w:tcPr>
            <w:tcW w:w="2280" w:type="dxa"/>
            <w:vAlign w:val="bottom"/>
          </w:tcPr>
          <w:p>
            <w:pPr>
              <w:spacing w:after="0"/>
              <w:rPr>
                <w:sz w:val="16"/>
                <w:szCs w:val="16"/>
                <w:color w:val="auto"/>
              </w:rPr>
            </w:pPr>
          </w:p>
        </w:tc>
      </w:tr>
      <w:tr>
        <w:trPr>
          <w:trHeight w:val="230"/>
        </w:trPr>
        <w:tc>
          <w:tcPr>
            <w:tcW w:w="2300" w:type="dxa"/>
            <w:vAlign w:val="bottom"/>
          </w:tcPr>
          <w:p>
            <w:pPr>
              <w:spacing w:after="0"/>
              <w:rPr>
                <w:sz w:val="20"/>
                <w:szCs w:val="20"/>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Financial Statement</w:t>
            </w:r>
          </w:p>
        </w:tc>
        <w:tc>
          <w:tcPr>
            <w:tcW w:w="3060" w:type="dxa"/>
            <w:vAlign w:val="bottom"/>
            <w:gridSpan w:val="2"/>
          </w:tcPr>
          <w:p>
            <w:pPr>
              <w:ind w:left="60"/>
              <w:spacing w:after="0"/>
              <w:rPr>
                <w:sz w:val="20"/>
                <w:szCs w:val="20"/>
                <w:color w:val="auto"/>
              </w:rPr>
            </w:pPr>
            <w:r>
              <w:rPr>
                <w:rFonts w:ascii="Arial" w:cs="Arial" w:eastAsia="Arial" w:hAnsi="Arial"/>
                <w:sz w:val="18"/>
                <w:szCs w:val="18"/>
                <w:color w:val="auto"/>
              </w:rPr>
              <w:t>Line Item</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8"/>
              </w:rPr>
              <w:t>Corrected</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Stated</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1880" w:type="dxa"/>
            <w:vAlign w:val="bottom"/>
            <w:tcBorders>
              <w:top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3040" w:type="dxa"/>
            <w:vAlign w:val="bottom"/>
            <w:tcBorders>
              <w:top w:val="single" w:sz="8" w:color="CCEECC"/>
            </w:tcBorders>
            <w:shd w:val="clear" w:color="auto" w:fill="CCEECC"/>
          </w:tcPr>
          <w:p>
            <w:pPr>
              <w:ind w:left="60"/>
              <w:spacing w:after="0"/>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rPr>
              <w:t>620,654</w:t>
            </w:r>
          </w:p>
        </w:tc>
        <w:tc>
          <w:tcPr>
            <w:tcW w:w="980" w:type="dxa"/>
            <w:vAlign w:val="bottom"/>
            <w:tcBorders>
              <w:top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rPr>
              <w:t>493,154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Income statement</w:t>
            </w:r>
          </w:p>
        </w:tc>
        <w:tc>
          <w:tcPr>
            <w:tcW w:w="3060" w:type="dxa"/>
            <w:vAlign w:val="bottom"/>
            <w:gridSpan w:val="2"/>
          </w:tcPr>
          <w:p>
            <w:pPr>
              <w:ind w:left="60"/>
              <w:spacing w:after="0"/>
              <w:rPr>
                <w:sz w:val="20"/>
                <w:szCs w:val="20"/>
                <w:color w:val="auto"/>
              </w:rPr>
            </w:pPr>
            <w:r>
              <w:rPr>
                <w:rFonts w:ascii="Arial" w:cs="Arial" w:eastAsia="Arial" w:hAnsi="Arial"/>
                <w:sz w:val="18"/>
                <w:szCs w:val="18"/>
                <w:color w:val="auto"/>
              </w:rPr>
              <w:t>Loss from operations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(420,480)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(292,980)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88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3060" w:type="dxa"/>
            <w:vAlign w:val="bottom"/>
            <w:gridSpan w:val="2"/>
            <w:shd w:val="clear" w:color="auto" w:fill="CCEECC"/>
          </w:tcPr>
          <w:p>
            <w:pPr>
              <w:ind w:left="60"/>
              <w:spacing w:after="0"/>
              <w:rPr>
                <w:sz w:val="20"/>
                <w:szCs w:val="20"/>
                <w:color w:val="auto"/>
              </w:rPr>
            </w:pPr>
            <w:r>
              <w:rPr>
                <w:rFonts w:ascii="Arial" w:cs="Arial" w:eastAsia="Arial" w:hAnsi="Arial"/>
                <w:sz w:val="18"/>
                <w:szCs w:val="18"/>
                <w:color w:val="auto"/>
                <w:w w:val="96"/>
              </w:rPr>
              <w:t>Loss before provision for income taxes</w:t>
            </w:r>
          </w:p>
        </w:tc>
        <w:tc>
          <w:tcPr>
            <w:tcW w:w="92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(560,183)</w:t>
            </w:r>
          </w:p>
        </w:tc>
        <w:tc>
          <w:tcPr>
            <w:tcW w:w="98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(432,683)</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Income statement</w:t>
            </w:r>
          </w:p>
        </w:tc>
        <w:tc>
          <w:tcPr>
            <w:tcW w:w="3060" w:type="dxa"/>
            <w:vAlign w:val="bottom"/>
            <w:gridSpan w:val="2"/>
          </w:tcPr>
          <w:p>
            <w:pPr>
              <w:ind w:left="6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(560,183)</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(432,683)</w:t>
            </w:r>
          </w:p>
        </w:tc>
        <w:tc>
          <w:tcPr>
            <w:tcW w:w="2280" w:type="dxa"/>
            <w:vAlign w:val="bottom"/>
          </w:tcPr>
          <w:p>
            <w:pPr>
              <w:spacing w:after="0"/>
              <w:rPr>
                <w:sz w:val="20"/>
                <w:szCs w:val="20"/>
                <w:color w:val="auto"/>
              </w:rPr>
            </w:pPr>
          </w:p>
        </w:tc>
      </w:tr>
      <w:tr>
        <w:trPr>
          <w:trHeight w:val="391"/>
        </w:trPr>
        <w:tc>
          <w:tcPr>
            <w:tcW w:w="2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24"/>
        </w:trPr>
        <w:tc>
          <w:tcPr>
            <w:tcW w:w="2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60" w:type="dxa"/>
            <w:vAlign w:val="bottom"/>
            <w:gridSpan w:val="2"/>
          </w:tcPr>
          <w:p>
            <w:pPr>
              <w:ind w:left="1360"/>
              <w:spacing w:after="0"/>
              <w:rPr>
                <w:sz w:val="20"/>
                <w:szCs w:val="20"/>
                <w:color w:val="auto"/>
              </w:rPr>
            </w:pPr>
            <w:r>
              <w:rPr>
                <w:rFonts w:ascii="Arial" w:cs="Arial" w:eastAsia="Arial" w:hAnsi="Arial"/>
                <w:sz w:val="18"/>
                <w:szCs w:val="18"/>
                <w:color w:val="auto"/>
              </w:rPr>
              <w:t>F-14</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18 – 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sustained substantial losses since inception.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view of this matter, the ability of the Company to continue as a going concern is dependent upon growth of revenues and the ability of the Company to raise additional capital. Management believes that its successful ability to raise capital and increases in revenues will provide the opportunity for the Company to continue as a going concern.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855-10, the Company has analyzed its operations subsequent to June 30, 2012 through the date these financial statements were issued and has determined that it does not have any material subsequent events to disclose in these financial statements.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2012 year has started out on target for us and our SampleMD expansion. Building on the momentum from 2011, our organization continues to grow, transform and gain valuable traction within the emerging eCoupon market space for healthcare and pharmaceutical manufacturers.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the first and second quarter of 2012, we have generated revenue from SampleMD of $329,403 and $515,423, respectively. We completed the integration of our SampleMD solution within the NewCrop ePrescribing environment and finalized the integration and launch of our services within the DrFirst ePrescribing solution at the end of the second quarter. Both the NewCorp and DrFirst ePrescribing applications are the prescription tools used by multiple Electronic Medical Record (EMR) application providers.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Allscripts has formally committed to integrating SampleMD within the remainder of its electronic medical platforms, including their PRO EMR, which will allow promotional access to an additional 25,000 prescribing clinicians by the fourth quarter of 2012.</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Completing these integrations and launching these initiatives should double our reach to over 100,000 participating clinicians through more than 200 Electronic Medical Record application providers. This increase of access and utilization has already shown a positive effect on our revenue stream as seen in the following results of operations summary.</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While we continue to see the positive results from our core SampleMD offering, we continued our R&amp;D development of complementary products that align with the SampleMD base promotional offerings. Within the second quarter, we piloted a new eRep Scheduler tool with Louisiana’s largest health system to eliminate drug rep cold calling by developing a new way to review physician time slots and electronically schedule appointments. Working with a major pharmaceutical manufacturer in this beta test, we have gained valuable insight on our product performance, ease of use, and overall adaptability within the clinical environment. We are also working on a way for doctors to request a drug rep office visit right within their ePrescribing workflow. This addressed one of the biggest marketing challenges the pharmaceutical industry faces: restricted sales rep access. Further evaluation and development will precede a targeted major fouth quarter launch of this initiative. We have also begun further development on innovative integrated solutions which allow prescribing clinicians to instantly connect with product manufacturer experts to respond to questions and inquiries about their product in real time.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protect and expand our leadership and reach in ePrescribing promotion, our solutions are being developed to “plug and play” effectively with a multitude of electronic and mobile platforms that are used today by the prescribing clinicians.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SampleMD continues to be regarded as the eCoupon innovator and industry standard by the pharmaceutical manufacturing community. This has been accomplished through a continued multitude of sales and marketing efforts, including participation in key industry conferences such as the Marcus Evans Pharma Executive Summit, an invitee-only meeting of the top 150 pharma marketing and brand executives and the Pharma West conference to meet with emerging brands and biotechnology clients who are becoming a large opportunity for our company. Besides preparing as a sponsor and keynote presenter for the upcoming Allscripts ACE User conference in August, we continued our traditional marketing, newsletters and hosted webex conference calls with new client prospects and have begun a media outreach to further promote our organization.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2012 and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total revenue reported for the three months ended June 30, 2012 was $515,423, an increase of $315,249 from the prior year period. Our total revenue reported for the six months ended June 30, 2012 was $844,826, an increase of $250,809 from the prior year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increased revenue for the three and six months ended June 30, 2012 as compared with the prior year periods is a result of the ramping up more promotional programs and transactions within SampleMD.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expenses decreased to $591,628 for the three months ended June 30, 2012 from $620,654 for the three months ended June 30, 2011. Our major expenses for the three months ended June 30, 2012 were sales, wages and benefits of $294,570, stock-based compensation of $100,835, and general and administrative expenses of $65,243. In comparison, our major expenses for the three months ended June 30, 2011 were salaries, wages and benefits of $221,627, advertising of $118,530, professional fees of $106,675 and general and administrative expenses of $100,946.</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expenses decreased to $1,221,952 for the six months ended June 30, 2012 from $1,254,935 for the six months ended June 30, 2011. Our major expenses for the six months ended June 30, 2012 were sales, wages and benefits of $601,465, stock-based non cash compensation of $228,383, and general and administrative expenses of $142,295. In comparison, our major expenses for the six months ended June 30, 2011 were salaries, wages and benefits of $410,341, advertising expenses of $305,795, professional fees of $212,889 and general and administrative expenses of $168,709.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was $146 for three months ended June 30, 2012, an increase from other expenses of $139,703 for same period ended 2011. We had no interest expenses in 2012 with $140,098 in 2011, which mostly accounted for the difference between the periods.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was $331 for six months ended June 30, 2012, an increase from other expenses of $279,197 for same period ended 2011. We had no interest expenses in 2012 with $280,098 in 2011, which mostly accounted for the difference between the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loss for the three months ended June 30, 2012 was $76,059, compared to net loss of $560,183 for the three months ended June 30, 2011. Although reporting a quarterly loss, if subtracting the non-cash expenses of stock options, warrants and stock issuance depreciation and amortization considerations, net income would be $72,105 for the three months ended June 30, 2012.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Net loss for the six months ended June 30, 2012 was $376,795, compared to a net loss of $940,115 for the six months ended June 30, 2011. Per the above stated considerations for subtracting non-cash based expenses, our net loss would be $55,060 for the six months ended June 30, 2012.</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Below is a table that reflects our unaudited results of operations for the three months ended June 30, 2012 with the removal of non-cash based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5320" w:type="dxa"/>
            <w:vAlign w:val="bottom"/>
            <w:gridSpan w:val="3"/>
          </w:tcPr>
          <w:p>
            <w:pPr>
              <w:ind w:left="2400"/>
              <w:spacing w:after="0"/>
              <w:rPr>
                <w:sz w:val="20"/>
                <w:szCs w:val="20"/>
                <w:color w:val="auto"/>
              </w:rPr>
            </w:pPr>
            <w:r>
              <w:rPr>
                <w:rFonts w:ascii="Arial" w:cs="Arial" w:eastAsia="Arial" w:hAnsi="Arial"/>
                <w:sz w:val="18"/>
                <w:szCs w:val="18"/>
                <w:b w:val="1"/>
                <w:bCs w:val="1"/>
                <w:color w:val="auto"/>
              </w:rPr>
              <w:t>Minus: Non-cash expenses</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45"/>
        </w:trPr>
        <w:tc>
          <w:tcPr>
            <w:tcW w:w="2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00" w:type="dxa"/>
            <w:vAlign w:val="bottom"/>
            <w:gridSpan w:val="4"/>
          </w:tcPr>
          <w:p>
            <w:pPr>
              <w:jc w:val="right"/>
              <w:ind w:right="20"/>
              <w:spacing w:after="0"/>
              <w:rPr>
                <w:sz w:val="20"/>
                <w:szCs w:val="20"/>
                <w:color w:val="auto"/>
              </w:rPr>
            </w:pPr>
            <w:r>
              <w:rPr>
                <w:rFonts w:ascii="Arial" w:cs="Arial" w:eastAsia="Arial" w:hAnsi="Arial"/>
                <w:sz w:val="18"/>
                <w:szCs w:val="18"/>
                <w:color w:val="auto"/>
                <w:w w:val="90"/>
              </w:rPr>
              <w:t>For the three months For the three months</w:t>
            </w:r>
          </w:p>
        </w:tc>
        <w:tc>
          <w:tcPr>
            <w:tcW w:w="228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ended June 30, 2012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ended June 30, 2011</w:t>
            </w:r>
          </w:p>
        </w:tc>
        <w:tc>
          <w:tcPr>
            <w:tcW w:w="2280" w:type="dxa"/>
            <w:vAlign w:val="bottom"/>
          </w:tcPr>
          <w:p>
            <w:pPr>
              <w:spacing w:after="0"/>
              <w:rPr>
                <w:sz w:val="20"/>
                <w:szCs w:val="20"/>
                <w:color w:val="auto"/>
              </w:rPr>
            </w:pPr>
          </w:p>
        </w:tc>
      </w:tr>
      <w:tr>
        <w:trPr>
          <w:trHeight w:val="243"/>
        </w:trPr>
        <w:tc>
          <w:tcPr>
            <w:tcW w:w="23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3740" w:type="dxa"/>
            <w:vAlign w:val="bottom"/>
            <w:shd w:val="clear" w:color="auto" w:fill="CCEECC"/>
          </w:tcPr>
          <w:p>
            <w:pPr>
              <w:ind w:left="80"/>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CEECC"/>
          </w:tcPr>
          <w:p>
            <w:pPr>
              <w:spacing w:after="0"/>
              <w:rPr>
                <w:sz w:val="21"/>
                <w:szCs w:val="21"/>
                <w:color w:val="auto"/>
              </w:rPr>
            </w:pPr>
          </w:p>
        </w:tc>
        <w:tc>
          <w:tcPr>
            <w:tcW w:w="200" w:type="dxa"/>
            <w:vAlign w:val="bottom"/>
            <w:shd w:val="clear" w:color="auto" w:fill="CCEECC"/>
          </w:tcPr>
          <w:p>
            <w:pPr>
              <w:spacing w:after="0"/>
              <w:rPr>
                <w:sz w:val="21"/>
                <w:szCs w:val="21"/>
                <w:color w:val="auto"/>
              </w:rPr>
            </w:pPr>
          </w:p>
        </w:tc>
        <w:tc>
          <w:tcPr>
            <w:tcW w:w="1360" w:type="dxa"/>
            <w:vAlign w:val="bottom"/>
            <w:shd w:val="clear" w:color="auto" w:fill="CCEECC"/>
          </w:tcPr>
          <w:p>
            <w:pPr>
              <w:spacing w:after="0"/>
              <w:rPr>
                <w:sz w:val="21"/>
                <w:szCs w:val="21"/>
                <w:color w:val="auto"/>
              </w:rPr>
            </w:pPr>
          </w:p>
        </w:tc>
        <w:tc>
          <w:tcPr>
            <w:tcW w:w="160" w:type="dxa"/>
            <w:vAlign w:val="bottom"/>
            <w:shd w:val="clear" w:color="auto" w:fill="CCEECC"/>
          </w:tcPr>
          <w:p>
            <w:pPr>
              <w:spacing w:after="0"/>
              <w:rPr>
                <w:sz w:val="21"/>
                <w:szCs w:val="21"/>
                <w:color w:val="auto"/>
              </w:rPr>
            </w:pPr>
          </w:p>
        </w:tc>
        <w:tc>
          <w:tcPr>
            <w:tcW w:w="2280" w:type="dxa"/>
            <w:vAlign w:val="bottom"/>
          </w:tcPr>
          <w:p>
            <w:pPr>
              <w:spacing w:after="0"/>
              <w:rPr>
                <w:sz w:val="21"/>
                <w:szCs w:val="21"/>
                <w:color w:val="auto"/>
              </w:rPr>
            </w:pPr>
          </w:p>
        </w:tc>
      </w:tr>
      <w:tr>
        <w:trPr>
          <w:trHeight w:val="216"/>
        </w:trPr>
        <w:tc>
          <w:tcPr>
            <w:tcW w:w="2300" w:type="dxa"/>
            <w:vAlign w:val="bottom"/>
          </w:tcPr>
          <w:p>
            <w:pPr>
              <w:spacing w:after="0"/>
              <w:rPr>
                <w:sz w:val="18"/>
                <w:szCs w:val="18"/>
                <w:color w:val="auto"/>
              </w:rPr>
            </w:pPr>
          </w:p>
        </w:tc>
        <w:tc>
          <w:tcPr>
            <w:tcW w:w="3740" w:type="dxa"/>
            <w:vAlign w:val="bottom"/>
          </w:tcPr>
          <w:p>
            <w:pPr>
              <w:ind w:left="80"/>
              <w:spacing w:after="0"/>
              <w:rPr>
                <w:sz w:val="20"/>
                <w:szCs w:val="20"/>
                <w:color w:val="auto"/>
              </w:rPr>
            </w:pPr>
            <w:r>
              <w:rPr>
                <w:rFonts w:ascii="Arial" w:cs="Arial" w:eastAsia="Arial" w:hAnsi="Arial"/>
                <w:sz w:val="18"/>
                <w:szCs w:val="18"/>
                <w:color w:val="auto"/>
              </w:rPr>
              <w:t>Sales</w:t>
            </w:r>
          </w:p>
        </w:tc>
        <w:tc>
          <w:tcPr>
            <w:tcW w:w="1380" w:type="dxa"/>
            <w:vAlign w:val="bottom"/>
          </w:tcPr>
          <w:p>
            <w:pPr>
              <w:jc w:val="right"/>
              <w:spacing w:after="0"/>
              <w:rPr>
                <w:sz w:val="20"/>
                <w:szCs w:val="20"/>
                <w:color w:val="auto"/>
              </w:rPr>
            </w:pPr>
            <w:r>
              <w:rPr>
                <w:rFonts w:ascii="Arial" w:cs="Arial" w:eastAsia="Arial" w:hAnsi="Arial"/>
                <w:sz w:val="18"/>
                <w:szCs w:val="18"/>
                <w:color w:val="auto"/>
              </w:rPr>
              <w:t>515,423</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200,174</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3740" w:type="dxa"/>
            <w:vAlign w:val="bottom"/>
            <w:shd w:val="clear" w:color="auto" w:fill="CCEECC"/>
          </w:tcPr>
          <w:p>
            <w:pPr>
              <w:ind w:left="80"/>
              <w:spacing w:after="0"/>
              <w:rPr>
                <w:sz w:val="20"/>
                <w:szCs w:val="20"/>
                <w:color w:val="auto"/>
              </w:rPr>
            </w:pPr>
            <w:r>
              <w:rPr>
                <w:rFonts w:ascii="Arial" w:cs="Arial" w:eastAsia="Arial" w:hAnsi="Arial"/>
                <w:sz w:val="18"/>
                <w:szCs w:val="18"/>
                <w:color w:val="auto"/>
              </w:rPr>
              <w:t>Less returns and allowances</w:t>
            </w:r>
          </w:p>
        </w:tc>
        <w:tc>
          <w:tcPr>
            <w:tcW w:w="15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740" w:type="dxa"/>
            <w:vAlign w:val="bottom"/>
            <w:shd w:val="clear" w:color="auto" w:fill="CCEECC"/>
          </w:tcPr>
          <w:p>
            <w:pPr>
              <w:ind w:left="80"/>
              <w:spacing w:after="0"/>
              <w:rPr>
                <w:sz w:val="20"/>
                <w:szCs w:val="20"/>
                <w:color w:val="auto"/>
              </w:rPr>
            </w:pPr>
            <w:r>
              <w:rPr>
                <w:rFonts w:ascii="Arial" w:cs="Arial" w:eastAsia="Arial" w:hAnsi="Arial"/>
                <w:sz w:val="18"/>
                <w:szCs w:val="18"/>
                <w:color w:val="auto"/>
              </w:rPr>
              <w:t>TOTAL REVENUE</w:t>
            </w: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515,423</w:t>
            </w:r>
          </w:p>
        </w:tc>
        <w:tc>
          <w:tcPr>
            <w:tcW w:w="200" w:type="dxa"/>
            <w:vAlign w:val="bottom"/>
            <w:shd w:val="clear" w:color="auto" w:fill="CCEECC"/>
          </w:tcPr>
          <w:p>
            <w:pPr>
              <w:spacing w:after="0"/>
              <w:rPr>
                <w:sz w:val="19"/>
                <w:szCs w:val="19"/>
                <w:color w:val="auto"/>
              </w:rPr>
            </w:pPr>
          </w:p>
        </w:tc>
        <w:tc>
          <w:tcPr>
            <w:tcW w:w="13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200,174</w:t>
            </w:r>
          </w:p>
        </w:tc>
        <w:tc>
          <w:tcPr>
            <w:tcW w:w="160" w:type="dxa"/>
            <w:vAlign w:val="bottom"/>
            <w:shd w:val="clear" w:color="auto" w:fill="CCEECC"/>
          </w:tcPr>
          <w:p>
            <w:pPr>
              <w:spacing w:after="0"/>
              <w:rPr>
                <w:sz w:val="19"/>
                <w:szCs w:val="19"/>
                <w:color w:val="auto"/>
              </w:rPr>
            </w:pPr>
          </w:p>
        </w:tc>
        <w:tc>
          <w:tcPr>
            <w:tcW w:w="228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43"/>
        </w:trPr>
        <w:tc>
          <w:tcPr>
            <w:tcW w:w="2300" w:type="dxa"/>
            <w:vAlign w:val="bottom"/>
          </w:tcPr>
          <w:p>
            <w:pPr>
              <w:spacing w:after="0"/>
              <w:rPr>
                <w:sz w:val="21"/>
                <w:szCs w:val="21"/>
                <w:color w:val="auto"/>
              </w:rPr>
            </w:pPr>
          </w:p>
        </w:tc>
        <w:tc>
          <w:tcPr>
            <w:tcW w:w="3740" w:type="dxa"/>
            <w:vAlign w:val="bottom"/>
            <w:shd w:val="clear" w:color="auto" w:fill="CCEECC"/>
          </w:tcPr>
          <w:p>
            <w:pPr>
              <w:ind w:left="80"/>
              <w:spacing w:after="0"/>
              <w:rPr>
                <w:sz w:val="20"/>
                <w:szCs w:val="20"/>
                <w:color w:val="auto"/>
              </w:rPr>
            </w:pPr>
            <w:r>
              <w:rPr>
                <w:rFonts w:ascii="Arial" w:cs="Arial" w:eastAsia="Arial" w:hAnsi="Arial"/>
                <w:sz w:val="18"/>
                <w:szCs w:val="18"/>
                <w:color w:val="auto"/>
              </w:rPr>
              <w:t>EXPENSES</w:t>
            </w:r>
          </w:p>
        </w:tc>
        <w:tc>
          <w:tcPr>
            <w:tcW w:w="1380" w:type="dxa"/>
            <w:vAlign w:val="bottom"/>
            <w:shd w:val="clear" w:color="auto" w:fill="CCEECC"/>
          </w:tcPr>
          <w:p>
            <w:pPr>
              <w:spacing w:after="0"/>
              <w:rPr>
                <w:sz w:val="21"/>
                <w:szCs w:val="21"/>
                <w:color w:val="auto"/>
              </w:rPr>
            </w:pPr>
          </w:p>
        </w:tc>
        <w:tc>
          <w:tcPr>
            <w:tcW w:w="200" w:type="dxa"/>
            <w:vAlign w:val="bottom"/>
            <w:shd w:val="clear" w:color="auto" w:fill="CCEECC"/>
          </w:tcPr>
          <w:p>
            <w:pPr>
              <w:spacing w:after="0"/>
              <w:rPr>
                <w:sz w:val="21"/>
                <w:szCs w:val="21"/>
                <w:color w:val="auto"/>
              </w:rPr>
            </w:pPr>
          </w:p>
        </w:tc>
        <w:tc>
          <w:tcPr>
            <w:tcW w:w="1360" w:type="dxa"/>
            <w:vAlign w:val="bottom"/>
            <w:shd w:val="clear" w:color="auto" w:fill="CCEECC"/>
          </w:tcPr>
          <w:p>
            <w:pPr>
              <w:spacing w:after="0"/>
              <w:rPr>
                <w:sz w:val="21"/>
                <w:szCs w:val="21"/>
                <w:color w:val="auto"/>
              </w:rPr>
            </w:pPr>
          </w:p>
        </w:tc>
        <w:tc>
          <w:tcPr>
            <w:tcW w:w="160" w:type="dxa"/>
            <w:vAlign w:val="bottom"/>
            <w:shd w:val="clear" w:color="auto" w:fill="CCEECC"/>
          </w:tcPr>
          <w:p>
            <w:pPr>
              <w:spacing w:after="0"/>
              <w:rPr>
                <w:sz w:val="21"/>
                <w:szCs w:val="21"/>
                <w:color w:val="auto"/>
              </w:rPr>
            </w:pPr>
          </w:p>
        </w:tc>
        <w:tc>
          <w:tcPr>
            <w:tcW w:w="2280" w:type="dxa"/>
            <w:vAlign w:val="bottom"/>
          </w:tcPr>
          <w:p>
            <w:pPr>
              <w:spacing w:after="0"/>
              <w:rPr>
                <w:sz w:val="21"/>
                <w:szCs w:val="21"/>
                <w:color w:val="auto"/>
              </w:rPr>
            </w:pPr>
          </w:p>
        </w:tc>
      </w:tr>
      <w:tr>
        <w:trPr>
          <w:trHeight w:val="216"/>
        </w:trPr>
        <w:tc>
          <w:tcPr>
            <w:tcW w:w="2300" w:type="dxa"/>
            <w:vAlign w:val="bottom"/>
          </w:tcPr>
          <w:p>
            <w:pPr>
              <w:spacing w:after="0"/>
              <w:rPr>
                <w:sz w:val="18"/>
                <w:szCs w:val="18"/>
                <w:color w:val="auto"/>
              </w:rPr>
            </w:pPr>
          </w:p>
        </w:tc>
        <w:tc>
          <w:tcPr>
            <w:tcW w:w="3740" w:type="dxa"/>
            <w:vAlign w:val="bottom"/>
          </w:tcPr>
          <w:p>
            <w:pPr>
              <w:ind w:left="80"/>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jc w:val="right"/>
              <w:spacing w:after="0"/>
              <w:rPr>
                <w:sz w:val="20"/>
                <w:szCs w:val="20"/>
                <w:color w:val="auto"/>
              </w:rPr>
            </w:pPr>
            <w:r>
              <w:rPr>
                <w:rFonts w:ascii="Arial" w:cs="Arial" w:eastAsia="Arial" w:hAnsi="Arial"/>
                <w:sz w:val="18"/>
                <w:szCs w:val="18"/>
                <w:color w:val="auto"/>
              </w:rPr>
              <w:t>591,628</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620,654</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3740" w:type="dxa"/>
            <w:vAlign w:val="bottom"/>
            <w:shd w:val="clear" w:color="auto" w:fill="CCEECC"/>
          </w:tcPr>
          <w:p>
            <w:pPr>
              <w:ind w:left="80"/>
              <w:spacing w:after="0"/>
              <w:rPr>
                <w:sz w:val="20"/>
                <w:szCs w:val="20"/>
                <w:color w:val="auto"/>
              </w:rPr>
            </w:pPr>
            <w:r>
              <w:rPr>
                <w:rFonts w:ascii="Arial" w:cs="Arial" w:eastAsia="Arial" w:hAnsi="Arial"/>
                <w:sz w:val="18"/>
                <w:szCs w:val="18"/>
                <w:color w:val="auto"/>
                <w:w w:val="96"/>
              </w:rPr>
              <w:t>Less: Non-cash exp (options, amortization, etc)</w:t>
            </w:r>
          </w:p>
        </w:tc>
        <w:tc>
          <w:tcPr>
            <w:tcW w:w="158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(148,164)</w:t>
            </w:r>
          </w:p>
        </w:tc>
        <w:tc>
          <w:tcPr>
            <w:tcW w:w="15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(201,982)</w:t>
            </w:r>
          </w:p>
        </w:tc>
        <w:tc>
          <w:tcPr>
            <w:tcW w:w="228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740" w:type="dxa"/>
            <w:vAlign w:val="bottom"/>
            <w:shd w:val="clear" w:color="auto" w:fill="CCEECC"/>
          </w:tcPr>
          <w:p>
            <w:pPr>
              <w:ind w:left="80"/>
              <w:spacing w:after="0"/>
              <w:rPr>
                <w:sz w:val="20"/>
                <w:szCs w:val="20"/>
                <w:color w:val="auto"/>
              </w:rPr>
            </w:pPr>
            <w:r>
              <w:rPr>
                <w:rFonts w:ascii="Arial" w:cs="Arial" w:eastAsia="Arial" w:hAnsi="Arial"/>
                <w:sz w:val="18"/>
                <w:szCs w:val="18"/>
                <w:color w:val="auto"/>
              </w:rPr>
              <w:t>TOTAL EXPENSES</w:t>
            </w: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443,464</w:t>
            </w:r>
          </w:p>
        </w:tc>
        <w:tc>
          <w:tcPr>
            <w:tcW w:w="200" w:type="dxa"/>
            <w:vAlign w:val="bottom"/>
            <w:shd w:val="clear" w:color="auto" w:fill="CCEECC"/>
          </w:tcPr>
          <w:p>
            <w:pPr>
              <w:spacing w:after="0"/>
              <w:rPr>
                <w:sz w:val="19"/>
                <w:szCs w:val="19"/>
                <w:color w:val="auto"/>
              </w:rPr>
            </w:pPr>
          </w:p>
        </w:tc>
        <w:tc>
          <w:tcPr>
            <w:tcW w:w="13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418,672</w:t>
            </w:r>
          </w:p>
        </w:tc>
        <w:tc>
          <w:tcPr>
            <w:tcW w:w="160" w:type="dxa"/>
            <w:vAlign w:val="bottom"/>
            <w:shd w:val="clear" w:color="auto" w:fill="CCEECC"/>
          </w:tcPr>
          <w:p>
            <w:pPr>
              <w:spacing w:after="0"/>
              <w:rPr>
                <w:sz w:val="19"/>
                <w:szCs w:val="19"/>
                <w:color w:val="auto"/>
              </w:rPr>
            </w:pPr>
          </w:p>
        </w:tc>
        <w:tc>
          <w:tcPr>
            <w:tcW w:w="228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740" w:type="dxa"/>
            <w:vAlign w:val="bottom"/>
            <w:shd w:val="clear" w:color="auto" w:fill="CCEECC"/>
          </w:tcPr>
          <w:p>
            <w:pPr>
              <w:ind w:left="80"/>
              <w:spacing w:after="0"/>
              <w:rPr>
                <w:sz w:val="20"/>
                <w:szCs w:val="20"/>
                <w:color w:val="auto"/>
              </w:rPr>
            </w:pPr>
            <w:r>
              <w:rPr>
                <w:rFonts w:ascii="Arial" w:cs="Arial" w:eastAsia="Arial" w:hAnsi="Arial"/>
                <w:sz w:val="18"/>
                <w:szCs w:val="18"/>
                <w:color w:val="auto"/>
              </w:rPr>
              <w:t>NET OPERATING INCOME (LOSS)</w:t>
            </w:r>
          </w:p>
        </w:tc>
        <w:tc>
          <w:tcPr>
            <w:tcW w:w="15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71,959</w:t>
            </w:r>
          </w:p>
        </w:tc>
        <w:tc>
          <w:tcPr>
            <w:tcW w:w="15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(218,498)</w:t>
            </w:r>
          </w:p>
        </w:tc>
        <w:tc>
          <w:tcPr>
            <w:tcW w:w="228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43"/>
        </w:trPr>
        <w:tc>
          <w:tcPr>
            <w:tcW w:w="2300" w:type="dxa"/>
            <w:vAlign w:val="bottom"/>
          </w:tcPr>
          <w:p>
            <w:pPr>
              <w:spacing w:after="0"/>
              <w:rPr>
                <w:sz w:val="21"/>
                <w:szCs w:val="21"/>
                <w:color w:val="auto"/>
              </w:rPr>
            </w:pPr>
          </w:p>
        </w:tc>
        <w:tc>
          <w:tcPr>
            <w:tcW w:w="3740" w:type="dxa"/>
            <w:vAlign w:val="bottom"/>
            <w:shd w:val="clear" w:color="auto" w:fill="CCEECC"/>
          </w:tcPr>
          <w:p>
            <w:pPr>
              <w:ind w:left="80"/>
              <w:spacing w:after="0"/>
              <w:rPr>
                <w:sz w:val="20"/>
                <w:szCs w:val="20"/>
                <w:color w:val="auto"/>
              </w:rPr>
            </w:pPr>
            <w:r>
              <w:rPr>
                <w:rFonts w:ascii="Arial" w:cs="Arial" w:eastAsia="Arial" w:hAnsi="Arial"/>
                <w:sz w:val="18"/>
                <w:szCs w:val="18"/>
                <w:color w:val="auto"/>
              </w:rPr>
              <w:t>OTHER INCOME (EXPENSE)</w:t>
            </w:r>
          </w:p>
        </w:tc>
        <w:tc>
          <w:tcPr>
            <w:tcW w:w="1380" w:type="dxa"/>
            <w:vAlign w:val="bottom"/>
            <w:shd w:val="clear" w:color="auto" w:fill="CCEECC"/>
          </w:tcPr>
          <w:p>
            <w:pPr>
              <w:spacing w:after="0"/>
              <w:rPr>
                <w:sz w:val="21"/>
                <w:szCs w:val="21"/>
                <w:color w:val="auto"/>
              </w:rPr>
            </w:pPr>
          </w:p>
        </w:tc>
        <w:tc>
          <w:tcPr>
            <w:tcW w:w="200" w:type="dxa"/>
            <w:vAlign w:val="bottom"/>
            <w:shd w:val="clear" w:color="auto" w:fill="CCEECC"/>
          </w:tcPr>
          <w:p>
            <w:pPr>
              <w:spacing w:after="0"/>
              <w:rPr>
                <w:sz w:val="21"/>
                <w:szCs w:val="21"/>
                <w:color w:val="auto"/>
              </w:rPr>
            </w:pPr>
          </w:p>
        </w:tc>
        <w:tc>
          <w:tcPr>
            <w:tcW w:w="1360" w:type="dxa"/>
            <w:vAlign w:val="bottom"/>
            <w:shd w:val="clear" w:color="auto" w:fill="CCEECC"/>
          </w:tcPr>
          <w:p>
            <w:pPr>
              <w:spacing w:after="0"/>
              <w:rPr>
                <w:sz w:val="21"/>
                <w:szCs w:val="21"/>
                <w:color w:val="auto"/>
              </w:rPr>
            </w:pPr>
          </w:p>
        </w:tc>
        <w:tc>
          <w:tcPr>
            <w:tcW w:w="160" w:type="dxa"/>
            <w:vAlign w:val="bottom"/>
            <w:shd w:val="clear" w:color="auto" w:fill="CCEECC"/>
          </w:tcPr>
          <w:p>
            <w:pPr>
              <w:spacing w:after="0"/>
              <w:rPr>
                <w:sz w:val="21"/>
                <w:szCs w:val="21"/>
                <w:color w:val="auto"/>
              </w:rPr>
            </w:pPr>
          </w:p>
        </w:tc>
        <w:tc>
          <w:tcPr>
            <w:tcW w:w="2280" w:type="dxa"/>
            <w:vAlign w:val="bottom"/>
          </w:tcPr>
          <w:p>
            <w:pPr>
              <w:spacing w:after="0"/>
              <w:rPr>
                <w:sz w:val="21"/>
                <w:szCs w:val="21"/>
                <w:color w:val="auto"/>
              </w:rPr>
            </w:pPr>
          </w:p>
        </w:tc>
      </w:tr>
      <w:tr>
        <w:trPr>
          <w:trHeight w:val="216"/>
        </w:trPr>
        <w:tc>
          <w:tcPr>
            <w:tcW w:w="2300" w:type="dxa"/>
            <w:vAlign w:val="bottom"/>
          </w:tcPr>
          <w:p>
            <w:pPr>
              <w:spacing w:after="0"/>
              <w:rPr>
                <w:sz w:val="18"/>
                <w:szCs w:val="18"/>
                <w:color w:val="auto"/>
              </w:rPr>
            </w:pPr>
          </w:p>
        </w:tc>
        <w:tc>
          <w:tcPr>
            <w:tcW w:w="374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740" w:type="dxa"/>
            <w:vAlign w:val="bottom"/>
            <w:shd w:val="clear" w:color="auto" w:fill="CCEECC"/>
          </w:tcPr>
          <w:p>
            <w:pPr>
              <w:ind w:left="80"/>
              <w:spacing w:after="0"/>
              <w:rPr>
                <w:sz w:val="20"/>
                <w:szCs w:val="20"/>
                <w:color w:val="auto"/>
              </w:rPr>
            </w:pPr>
            <w:r>
              <w:rPr>
                <w:rFonts w:ascii="Arial" w:cs="Arial" w:eastAsia="Arial" w:hAnsi="Arial"/>
                <w:sz w:val="18"/>
                <w:szCs w:val="18"/>
                <w:color w:val="auto"/>
              </w:rPr>
              <w:t>Other income</w:t>
            </w:r>
          </w:p>
        </w:tc>
        <w:tc>
          <w:tcPr>
            <w:tcW w:w="15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74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(106,325)</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740" w:type="dxa"/>
            <w:vAlign w:val="bottom"/>
            <w:shd w:val="clear" w:color="auto" w:fill="CCEECC"/>
          </w:tcPr>
          <w:p>
            <w:pPr>
              <w:ind w:left="80"/>
              <w:spacing w:after="0"/>
              <w:rPr>
                <w:sz w:val="20"/>
                <w:szCs w:val="20"/>
                <w:color w:val="auto"/>
              </w:rPr>
            </w:pPr>
            <w:r>
              <w:rPr>
                <w:rFonts w:ascii="Arial" w:cs="Arial" w:eastAsia="Arial" w:hAnsi="Arial"/>
                <w:sz w:val="18"/>
                <w:szCs w:val="18"/>
                <w:color w:val="auto"/>
              </w:rPr>
              <w:t>Impairment</w:t>
            </w:r>
          </w:p>
        </w:tc>
        <w:tc>
          <w:tcPr>
            <w:tcW w:w="15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(59,084)</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3740" w:type="dxa"/>
            <w:vAlign w:val="bottom"/>
          </w:tcPr>
          <w:p>
            <w:pPr>
              <w:ind w:left="80"/>
              <w:spacing w:after="0"/>
              <w:rPr>
                <w:sz w:val="20"/>
                <w:szCs w:val="20"/>
                <w:color w:val="auto"/>
              </w:rPr>
            </w:pPr>
            <w:r>
              <w:rPr>
                <w:rFonts w:ascii="Arial" w:cs="Arial" w:eastAsia="Arial" w:hAnsi="Arial"/>
                <w:sz w:val="18"/>
                <w:szCs w:val="18"/>
                <w:color w:val="auto"/>
                <w:w w:val="92"/>
              </w:rPr>
              <w:t>Less: Debt discount warrant value int, impairment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tcPr>
          <w:p>
            <w:pPr>
              <w:jc w:val="right"/>
              <w:spacing w:after="0"/>
              <w:rPr>
                <w:sz w:val="20"/>
                <w:szCs w:val="20"/>
                <w:color w:val="auto"/>
              </w:rPr>
            </w:pPr>
            <w:r>
              <w:rPr>
                <w:rFonts w:ascii="Arial" w:cs="Arial" w:eastAsia="Arial" w:hAnsi="Arial"/>
                <w:sz w:val="18"/>
                <w:szCs w:val="18"/>
                <w:color w:val="auto"/>
              </w:rPr>
              <w:t>165,409</w:t>
            </w: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3740" w:type="dxa"/>
            <w:vAlign w:val="bottom"/>
            <w:tcBorders>
              <w:top w:val="single" w:sz="8" w:color="CCEECC"/>
            </w:tcBorders>
            <w:shd w:val="clear" w:color="auto" w:fill="CCEECC"/>
          </w:tcPr>
          <w:p>
            <w:pPr>
              <w:spacing w:after="0"/>
              <w:rPr>
                <w:sz w:val="19"/>
                <w:szCs w:val="19"/>
                <w:color w:val="auto"/>
              </w:rPr>
            </w:pPr>
          </w:p>
        </w:tc>
        <w:tc>
          <w:tcPr>
            <w:tcW w:w="1380" w:type="dxa"/>
            <w:vAlign w:val="bottom"/>
            <w:tcBorders>
              <w:top w:val="single" w:sz="8" w:color="auto"/>
            </w:tcBorders>
            <w:shd w:val="clear" w:color="auto" w:fill="CCEECC"/>
          </w:tcPr>
          <w:p>
            <w:pPr>
              <w:spacing w:after="0"/>
              <w:rPr>
                <w:sz w:val="19"/>
                <w:szCs w:val="19"/>
                <w:color w:val="auto"/>
              </w:rPr>
            </w:pPr>
          </w:p>
        </w:tc>
        <w:tc>
          <w:tcPr>
            <w:tcW w:w="200" w:type="dxa"/>
            <w:vAlign w:val="bottom"/>
            <w:tcBorders>
              <w:top w:val="single" w:sz="8" w:color="CCEECC"/>
            </w:tcBorders>
            <w:shd w:val="clear" w:color="auto" w:fill="CCEECC"/>
          </w:tcPr>
          <w:p>
            <w:pPr>
              <w:spacing w:after="0"/>
              <w:rPr>
                <w:sz w:val="19"/>
                <w:szCs w:val="19"/>
                <w:color w:val="auto"/>
              </w:rPr>
            </w:pPr>
          </w:p>
        </w:tc>
        <w:tc>
          <w:tcPr>
            <w:tcW w:w="1360" w:type="dxa"/>
            <w:vAlign w:val="bottom"/>
            <w:tcBorders>
              <w:top w:val="single" w:sz="8" w:color="auto"/>
            </w:tcBorders>
            <w:shd w:val="clear" w:color="auto" w:fill="CCEECC"/>
          </w:tcPr>
          <w:p>
            <w:pPr>
              <w:spacing w:after="0"/>
              <w:rPr>
                <w:sz w:val="19"/>
                <w:szCs w:val="19"/>
                <w:color w:val="auto"/>
              </w:rPr>
            </w:pPr>
          </w:p>
        </w:tc>
        <w:tc>
          <w:tcPr>
            <w:tcW w:w="160" w:type="dxa"/>
            <w:vAlign w:val="bottom"/>
            <w:tcBorders>
              <w:top w:val="single" w:sz="8" w:color="CCEECC"/>
            </w:tcBorders>
            <w:shd w:val="clear" w:color="auto" w:fill="CCEECC"/>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740" w:type="dxa"/>
            <w:vAlign w:val="bottom"/>
          </w:tcPr>
          <w:p>
            <w:pPr>
              <w:ind w:left="80"/>
              <w:spacing w:after="0"/>
              <w:rPr>
                <w:sz w:val="20"/>
                <w:szCs w:val="20"/>
                <w:color w:val="auto"/>
              </w:rPr>
            </w:pPr>
            <w:r>
              <w:rPr>
                <w:rFonts w:ascii="Arial" w:cs="Arial" w:eastAsia="Arial" w:hAnsi="Arial"/>
                <w:sz w:val="18"/>
                <w:szCs w:val="18"/>
                <w:color w:val="auto"/>
              </w:rPr>
              <w:t>TOTAL OTHER INCOME (EXPENSE)</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228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3740" w:type="dxa"/>
            <w:vAlign w:val="bottom"/>
            <w:tcBorders>
              <w:top w:val="single" w:sz="8" w:color="CCEECC"/>
            </w:tcBorders>
            <w:shd w:val="clear" w:color="auto" w:fill="CCEECC"/>
          </w:tcPr>
          <w:p>
            <w:pPr>
              <w:spacing w:after="0"/>
              <w:rPr>
                <w:sz w:val="19"/>
                <w:szCs w:val="19"/>
                <w:color w:val="auto"/>
              </w:rPr>
            </w:pPr>
          </w:p>
        </w:tc>
        <w:tc>
          <w:tcPr>
            <w:tcW w:w="1380" w:type="dxa"/>
            <w:vAlign w:val="bottom"/>
            <w:tcBorders>
              <w:top w:val="single" w:sz="8" w:color="auto"/>
            </w:tcBorders>
            <w:shd w:val="clear" w:color="auto" w:fill="CCEECC"/>
          </w:tcPr>
          <w:p>
            <w:pPr>
              <w:spacing w:after="0"/>
              <w:rPr>
                <w:sz w:val="19"/>
                <w:szCs w:val="19"/>
                <w:color w:val="auto"/>
              </w:rPr>
            </w:pPr>
          </w:p>
        </w:tc>
        <w:tc>
          <w:tcPr>
            <w:tcW w:w="200" w:type="dxa"/>
            <w:vAlign w:val="bottom"/>
            <w:tcBorders>
              <w:top w:val="single" w:sz="8" w:color="CCEECC"/>
            </w:tcBorders>
            <w:shd w:val="clear" w:color="auto" w:fill="CCEECC"/>
          </w:tcPr>
          <w:p>
            <w:pPr>
              <w:spacing w:after="0"/>
              <w:rPr>
                <w:sz w:val="19"/>
                <w:szCs w:val="19"/>
                <w:color w:val="auto"/>
              </w:rPr>
            </w:pPr>
          </w:p>
        </w:tc>
        <w:tc>
          <w:tcPr>
            <w:tcW w:w="1360" w:type="dxa"/>
            <w:vAlign w:val="bottom"/>
            <w:tcBorders>
              <w:top w:val="single" w:sz="8" w:color="auto"/>
            </w:tcBorders>
            <w:shd w:val="clear" w:color="auto" w:fill="CCEECC"/>
          </w:tcPr>
          <w:p>
            <w:pPr>
              <w:spacing w:after="0"/>
              <w:rPr>
                <w:sz w:val="19"/>
                <w:szCs w:val="19"/>
                <w:color w:val="auto"/>
              </w:rPr>
            </w:pPr>
          </w:p>
        </w:tc>
        <w:tc>
          <w:tcPr>
            <w:tcW w:w="160" w:type="dxa"/>
            <w:vAlign w:val="bottom"/>
            <w:tcBorders>
              <w:top w:val="single" w:sz="8" w:color="CCEECC"/>
            </w:tcBorders>
            <w:shd w:val="clear" w:color="auto" w:fill="CCEECC"/>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3740" w:type="dxa"/>
            <w:vAlign w:val="bottom"/>
          </w:tcPr>
          <w:p>
            <w:pPr>
              <w:ind w:left="80"/>
              <w:spacing w:after="0"/>
              <w:rPr>
                <w:sz w:val="20"/>
                <w:szCs w:val="20"/>
                <w:color w:val="auto"/>
              </w:rPr>
            </w:pPr>
            <w:r>
              <w:rPr>
                <w:rFonts w:ascii="Arial" w:cs="Arial" w:eastAsia="Arial" w:hAnsi="Arial"/>
                <w:sz w:val="18"/>
                <w:szCs w:val="18"/>
                <w:color w:val="auto"/>
              </w:rPr>
              <w:t>NET INCOME (LOSS) BEFORE PROVISION</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72,105</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(217,821)</w:t>
            </w:r>
          </w:p>
        </w:tc>
        <w:tc>
          <w:tcPr>
            <w:tcW w:w="2280" w:type="dxa"/>
            <w:vAlign w:val="bottom"/>
          </w:tcPr>
          <w:p>
            <w:pPr>
              <w:spacing w:after="0"/>
              <w:rPr>
                <w:sz w:val="18"/>
                <w:szCs w:val="18"/>
                <w:color w:val="auto"/>
              </w:rPr>
            </w:pPr>
          </w:p>
        </w:tc>
      </w:tr>
      <w:tr>
        <w:trPr>
          <w:trHeight w:val="243"/>
        </w:trPr>
        <w:tc>
          <w:tcPr>
            <w:tcW w:w="2300" w:type="dxa"/>
            <w:vAlign w:val="bottom"/>
          </w:tcPr>
          <w:p>
            <w:pPr>
              <w:spacing w:after="0"/>
              <w:rPr>
                <w:sz w:val="21"/>
                <w:szCs w:val="21"/>
                <w:color w:val="auto"/>
              </w:rPr>
            </w:pPr>
          </w:p>
        </w:tc>
        <w:tc>
          <w:tcPr>
            <w:tcW w:w="3740" w:type="dxa"/>
            <w:vAlign w:val="bottom"/>
            <w:shd w:val="clear" w:color="auto" w:fill="CCEECC"/>
          </w:tcPr>
          <w:p>
            <w:pPr>
              <w:spacing w:after="0"/>
              <w:rPr>
                <w:sz w:val="21"/>
                <w:szCs w:val="21"/>
                <w:color w:val="auto"/>
              </w:rPr>
            </w:pPr>
          </w:p>
        </w:tc>
        <w:tc>
          <w:tcPr>
            <w:tcW w:w="1380" w:type="dxa"/>
            <w:vAlign w:val="bottom"/>
            <w:shd w:val="clear" w:color="auto" w:fill="CCEECC"/>
          </w:tcPr>
          <w:p>
            <w:pPr>
              <w:spacing w:after="0"/>
              <w:rPr>
                <w:sz w:val="21"/>
                <w:szCs w:val="21"/>
                <w:color w:val="auto"/>
              </w:rPr>
            </w:pPr>
          </w:p>
        </w:tc>
        <w:tc>
          <w:tcPr>
            <w:tcW w:w="200" w:type="dxa"/>
            <w:vAlign w:val="bottom"/>
            <w:shd w:val="clear" w:color="auto" w:fill="CCEECC"/>
          </w:tcPr>
          <w:p>
            <w:pPr>
              <w:spacing w:after="0"/>
              <w:rPr>
                <w:sz w:val="21"/>
                <w:szCs w:val="21"/>
                <w:color w:val="auto"/>
              </w:rPr>
            </w:pPr>
          </w:p>
        </w:tc>
        <w:tc>
          <w:tcPr>
            <w:tcW w:w="1360" w:type="dxa"/>
            <w:vAlign w:val="bottom"/>
            <w:shd w:val="clear" w:color="auto" w:fill="CCEECC"/>
          </w:tcPr>
          <w:p>
            <w:pPr>
              <w:spacing w:after="0"/>
              <w:rPr>
                <w:sz w:val="21"/>
                <w:szCs w:val="21"/>
                <w:color w:val="auto"/>
              </w:rPr>
            </w:pPr>
          </w:p>
        </w:tc>
        <w:tc>
          <w:tcPr>
            <w:tcW w:w="160" w:type="dxa"/>
            <w:vAlign w:val="bottom"/>
            <w:shd w:val="clear" w:color="auto" w:fill="CCEECC"/>
          </w:tcPr>
          <w:p>
            <w:pPr>
              <w:spacing w:after="0"/>
              <w:rPr>
                <w:sz w:val="21"/>
                <w:szCs w:val="21"/>
                <w:color w:val="auto"/>
              </w:rPr>
            </w:pPr>
          </w:p>
        </w:tc>
        <w:tc>
          <w:tcPr>
            <w:tcW w:w="2280" w:type="dxa"/>
            <w:vAlign w:val="bottom"/>
          </w:tcPr>
          <w:p>
            <w:pPr>
              <w:spacing w:after="0"/>
              <w:rPr>
                <w:sz w:val="21"/>
                <w:szCs w:val="21"/>
                <w:color w:val="auto"/>
              </w:rPr>
            </w:pPr>
          </w:p>
        </w:tc>
      </w:tr>
      <w:tr>
        <w:trPr>
          <w:trHeight w:val="230"/>
        </w:trPr>
        <w:tc>
          <w:tcPr>
            <w:tcW w:w="2300" w:type="dxa"/>
            <w:vAlign w:val="bottom"/>
          </w:tcPr>
          <w:p>
            <w:pPr>
              <w:spacing w:after="0"/>
              <w:rPr>
                <w:sz w:val="19"/>
                <w:szCs w:val="19"/>
                <w:color w:val="auto"/>
              </w:rPr>
            </w:pPr>
          </w:p>
        </w:tc>
        <w:tc>
          <w:tcPr>
            <w:tcW w:w="374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3740" w:type="dxa"/>
            <w:vAlign w:val="bottom"/>
            <w:tcBorders>
              <w:top w:val="single" w:sz="8" w:color="CCEECC"/>
            </w:tcBorders>
            <w:shd w:val="clear" w:color="auto" w:fill="CCEECC"/>
          </w:tcPr>
          <w:p>
            <w:pPr>
              <w:spacing w:after="0"/>
              <w:rPr>
                <w:sz w:val="19"/>
                <w:szCs w:val="19"/>
                <w:color w:val="auto"/>
              </w:rPr>
            </w:pPr>
          </w:p>
        </w:tc>
        <w:tc>
          <w:tcPr>
            <w:tcW w:w="1380" w:type="dxa"/>
            <w:vAlign w:val="bottom"/>
            <w:tcBorders>
              <w:top w:val="single" w:sz="8" w:color="auto"/>
            </w:tcBorders>
            <w:shd w:val="clear" w:color="auto" w:fill="CCEECC"/>
          </w:tcPr>
          <w:p>
            <w:pPr>
              <w:spacing w:after="0"/>
              <w:rPr>
                <w:sz w:val="19"/>
                <w:szCs w:val="19"/>
                <w:color w:val="auto"/>
              </w:rPr>
            </w:pPr>
          </w:p>
        </w:tc>
        <w:tc>
          <w:tcPr>
            <w:tcW w:w="200" w:type="dxa"/>
            <w:vAlign w:val="bottom"/>
            <w:tcBorders>
              <w:top w:val="single" w:sz="8" w:color="CCEECC"/>
            </w:tcBorders>
            <w:shd w:val="clear" w:color="auto" w:fill="CCEECC"/>
          </w:tcPr>
          <w:p>
            <w:pPr>
              <w:spacing w:after="0"/>
              <w:rPr>
                <w:sz w:val="19"/>
                <w:szCs w:val="19"/>
                <w:color w:val="auto"/>
              </w:rPr>
            </w:pPr>
          </w:p>
        </w:tc>
        <w:tc>
          <w:tcPr>
            <w:tcW w:w="1360" w:type="dxa"/>
            <w:vAlign w:val="bottom"/>
            <w:tcBorders>
              <w:top w:val="single" w:sz="8" w:color="auto"/>
            </w:tcBorders>
            <w:shd w:val="clear" w:color="auto" w:fill="CCEECC"/>
          </w:tcPr>
          <w:p>
            <w:pPr>
              <w:spacing w:after="0"/>
              <w:rPr>
                <w:sz w:val="19"/>
                <w:szCs w:val="19"/>
                <w:color w:val="auto"/>
              </w:rPr>
            </w:pPr>
          </w:p>
        </w:tc>
        <w:tc>
          <w:tcPr>
            <w:tcW w:w="160" w:type="dxa"/>
            <w:vAlign w:val="bottom"/>
            <w:tcBorders>
              <w:top w:val="single" w:sz="8" w:color="CCEECC"/>
            </w:tcBorders>
            <w:shd w:val="clear" w:color="auto" w:fill="CCEECC"/>
          </w:tcPr>
          <w:p>
            <w:pPr>
              <w:spacing w:after="0"/>
              <w:rPr>
                <w:sz w:val="19"/>
                <w:szCs w:val="19"/>
                <w:color w:val="auto"/>
              </w:rPr>
            </w:pPr>
          </w:p>
        </w:tc>
        <w:tc>
          <w:tcPr>
            <w:tcW w:w="2280" w:type="dxa"/>
            <w:vAlign w:val="bottom"/>
          </w:tcPr>
          <w:p>
            <w:pPr>
              <w:spacing w:after="0"/>
              <w:rPr>
                <w:sz w:val="19"/>
                <w:szCs w:val="19"/>
                <w:color w:val="auto"/>
              </w:rPr>
            </w:pPr>
          </w:p>
        </w:tc>
      </w:tr>
      <w:tr>
        <w:trPr>
          <w:trHeight w:val="243"/>
        </w:trPr>
        <w:tc>
          <w:tcPr>
            <w:tcW w:w="23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3740" w:type="dxa"/>
            <w:vAlign w:val="bottom"/>
            <w:shd w:val="clear" w:color="auto" w:fill="CCEECC"/>
          </w:tcPr>
          <w:p>
            <w:pPr>
              <w:ind w:left="80"/>
              <w:spacing w:after="0"/>
              <w:rPr>
                <w:sz w:val="20"/>
                <w:szCs w:val="20"/>
                <w:color w:val="auto"/>
              </w:rPr>
            </w:pPr>
            <w:r>
              <w:rPr>
                <w:rFonts w:ascii="Arial" w:cs="Arial" w:eastAsia="Arial" w:hAnsi="Arial"/>
                <w:sz w:val="18"/>
                <w:szCs w:val="18"/>
                <w:color w:val="auto"/>
              </w:rPr>
              <w:t>NET INCOME (LOSS)</w:t>
            </w:r>
          </w:p>
        </w:tc>
        <w:tc>
          <w:tcPr>
            <w:tcW w:w="15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72,105</w:t>
            </w:r>
          </w:p>
        </w:tc>
        <w:tc>
          <w:tcPr>
            <w:tcW w:w="15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(217,821)</w:t>
            </w:r>
          </w:p>
        </w:tc>
        <w:tc>
          <w:tcPr>
            <w:tcW w:w="2280" w:type="dxa"/>
            <w:vAlign w:val="bottom"/>
          </w:tcPr>
          <w:p>
            <w:pPr>
              <w:spacing w:after="0"/>
              <w:rPr>
                <w:sz w:val="21"/>
                <w:szCs w:val="21"/>
                <w:color w:val="auto"/>
              </w:rPr>
            </w:pPr>
          </w:p>
        </w:tc>
      </w:tr>
      <w:tr>
        <w:trPr>
          <w:trHeight w:val="20"/>
        </w:trPr>
        <w:tc>
          <w:tcPr>
            <w:tcW w:w="2300" w:type="dxa"/>
            <w:vAlign w:val="bottom"/>
          </w:tcPr>
          <w:p>
            <w:pPr>
              <w:spacing w:after="0" w:line="20" w:lineRule="exact"/>
              <w:rPr>
                <w:sz w:val="1"/>
                <w:szCs w:val="1"/>
                <w:color w:val="auto"/>
              </w:rPr>
            </w:pPr>
          </w:p>
        </w:tc>
        <w:tc>
          <w:tcPr>
            <w:tcW w:w="3740" w:type="dxa"/>
            <w:vAlign w:val="bottom"/>
            <w:tcBorders>
              <w:top w:val="single" w:sz="8" w:color="CCEEC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C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29"/>
        </w:trPr>
        <w:tc>
          <w:tcPr>
            <w:tcW w:w="23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24"/>
        </w:trPr>
        <w:tc>
          <w:tcPr>
            <w:tcW w:w="2300" w:type="dxa"/>
            <w:vAlign w:val="bottom"/>
          </w:tcPr>
          <w:p>
            <w:pPr>
              <w:spacing w:after="0"/>
              <w:rPr>
                <w:sz w:val="19"/>
                <w:szCs w:val="19"/>
                <w:color w:val="auto"/>
              </w:rPr>
            </w:pPr>
          </w:p>
        </w:tc>
        <w:tc>
          <w:tcPr>
            <w:tcW w:w="3740" w:type="dxa"/>
            <w:vAlign w:val="bottom"/>
          </w:tcPr>
          <w:p>
            <w:pPr>
              <w:ind w:left="3360"/>
              <w:spacing w:after="0"/>
              <w:rPr>
                <w:sz w:val="20"/>
                <w:szCs w:val="20"/>
                <w:color w:val="auto"/>
              </w:rPr>
            </w:pPr>
            <w:r>
              <w:rPr>
                <w:rFonts w:ascii="Arial" w:cs="Arial" w:eastAsia="Arial" w:hAnsi="Arial"/>
                <w:sz w:val="18"/>
                <w:szCs w:val="18"/>
                <w:color w:val="auto"/>
              </w:rPr>
              <w:t>6</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2012, we had total current assets of $1,110,244 and total assets in the amount of $2,415,266. Our total current liabilities as of June 30, 2012 were $1,024,587. We had working capital of $85,657 as of June 30, 2012.</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activities used $375,700 in cash for the six months ended June 30, 2012. Our net loss of $376,795 along with $158,502 in accounts payable, $66,700 in accrued expenses, $54,177 in accounts receivable, and $53,529 in deferred revenue were the primary components of our negative operating cash flow, offset mainly by $178,304 in stock-based compensation, $93,352 in depreciation and amortization and $62,347 in prepaid expenses. Investing activities used $55,955 during the six months ended June 30, 2012 largely as a result of website development costs.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16, 2011, we entered into a Securities Purchase Agreement with Vicis Capital Master Fund for sale of up to 50 shares of our Series B Preferred Stock and warrants to purchase up to 3,333,334 shares of our common stock with an exercise price of $3.00 per share (the “Vicis Warrants”), based on the Company’s option.</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already sold 15 shares of Series B Preferred Stock and a warrant to purchase 1,000,000 shares of our common stock at the above exercise price for $1,500,000. This money was used to pay off a promissory note we had with Physicians Interactive and the balance is for working capital.</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Thereafter, a subsequent closing may occur at our option commencing on December 1, 2011 for the sale of an additional 15 shares of Series B Preferred Stock and a warrant to purchase an additional 1,000,000 shares of our common stock for $1,500,000. A final subsequent closing may occur at our option commencing on May 1, 2012 for the sale of an additional 20 shares of Series B Preferred Stock and a warrant to purchase an additional 1,333,334 shares of our common stock for $2,000,000.</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share of Series B Preferred Stock is convertible at the option of the holder into that number of shares of our common stock equal to the Stated Value ($100,000) divided by a per share price of the common stock of $1.50 per share (the “Conversion Price”). A holder may effect a conversion at any time after the earlier of (a) the time that the Securities and Exchange Commission declares effective a registration statement registering the shares of common stock to be sold by the holder that underlie the shares of Series B Preferred Stock held by such holder (the “Conversion Shares’) and (b) the time such Conversion Shares are eligible for resale by the holder pursuant to Rule 144 of the Securities Act of 1933, as amended, (the “Conversion Eligibility Date”).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after the Conversion Eligibility Date the market price for the common stock for any ten consecutive trading days exceeds $2.00 (subject to adjustment for reverse and forward stock splits, stock combinations and other similar transactions of the common stock that may occur) and the average daily trading volume for the common stock during such ten day period exceeds 100,000 shares (such period, the “Threshold Period”), the Company may, at any time after the fifth trading day after the end of any such period, deliver a notice to the holder (a “Forced Conversion Notice” and the date such notice is received by the holder, the “Forced Conversion Notice Date”) to cause the holder to immediately convert all and not less than all of the Stated Value of the shares held by such Holder plus accumulated and unpaid dividends at the then current Conversion Price (a “Forced Conversion”). We may only effect a Forced Conversion Notice if all of the conditions specified in the purchase agreement are met through the applicable Threshold Period until the date of the applicable Forced Conversion and through and including the date such shares of common stock are issued to the holder.</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Vicis Warrants are exercisable for a period of seven years at an exercise price of $3.00 per share. The Vicis Warrants are also exercisable on a cashless basis. In addition, the Vicis Warrants are subject to anti-dilution adjustments and protections in the event of stock splits and stock dividends, subsequent equity sales entitling persons to acquire shares of common stock at an effective price per share that is lower than the then exercise price of the warrants and subsequent rights offerings, in the event we issue rights, options or warrant to all holders of common stock and not to the warrant holders, pro rata distributions of assets or indebtedness and fundamental transactions, such as a merger, consolidation or recapitalization. The anti-dilution adjustment shall apply the lowest sale price as being the adjusted option price or conversion ratio for existing shareholders.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2012 with the current level of financing and cash on hand, we have sufficient cash to operate our business at the current level for the next twelve months but insufficient cash to achieve our business goals unless we: a) realize cash revenues on sales generated; and/or b) continue with the sale of our Series B Preferred Stock to Vicis.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2012,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assuming that we will continue as a going concern. We have sustained substantial losses since inception.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view of this matter, our ability to continue as a going concern is dependent upon growth of revenues and our ability to raise additional capital. Management believes that our committed capital from Vicis and increases in revenues will provide us the opportunity to fully accelerate and capture these emerging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June 30, 2012. This evaluation was carried out under the supervision and with the participation of our Chief Executive Officer and Chief Financial Officer, Mr. David Lester. Based upon that evaluation, our Chief Executive Officer and Chief Financial Officer concluded that, as of June 30, 2012, our disclosure controls and procedures are effective. There have been no significant changes in our internal controls over financial reporting during the quarter ended June 30, 2012 that have materially affected or are reasonably likely to materially affect such controls.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the Effectiveness of Internal Controls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ectPr>
          <w:pgSz w:w="11900" w:h="16838" w:orient="portrait"/>
          <w:cols w:equalWidth="0" w:num="1">
            <w:col w:w="11420"/>
          </w:cols>
          <w:pgMar w:left="240" w:top="233"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580" w:type="dxa"/>
            <w:vAlign w:val="bottom"/>
            <w:gridSpan w:val="2"/>
          </w:tcPr>
          <w:p>
            <w:pPr>
              <w:spacing w:after="0"/>
              <w:rPr>
                <w:sz w:val="17"/>
                <w:szCs w:val="17"/>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Description of Exhibit</w:t>
            </w:r>
          </w:p>
        </w:tc>
        <w:tc>
          <w:tcPr>
            <w:tcW w:w="8560" w:type="dxa"/>
            <w:vAlign w:val="bottom"/>
            <w:gridSpan w:val="5"/>
          </w:tcPr>
          <w:p>
            <w:pPr>
              <w:spacing w:after="0"/>
              <w:rPr>
                <w:sz w:val="17"/>
                <w:szCs w:val="17"/>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31.1</w:t>
            </w:r>
          </w:p>
        </w:tc>
        <w:tc>
          <w:tcPr>
            <w:tcW w:w="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260" w:type="dxa"/>
            <w:vAlign w:val="bottom"/>
            <w:gridSpan w:val="7"/>
          </w:tcPr>
          <w:p>
            <w:pPr>
              <w:spacing w:after="0" w:line="196" w:lineRule="exact"/>
              <w:rPr>
                <w:sz w:val="20"/>
                <w:szCs w:val="20"/>
                <w:color w:val="auto"/>
              </w:rPr>
            </w:pPr>
            <w:r>
              <w:rPr>
                <w:rFonts w:ascii="Arial" w:cs="Arial" w:eastAsia="Arial" w:hAnsi="Arial"/>
                <w:sz w:val="18"/>
                <w:szCs w:val="18"/>
                <w:color w:val="0000EE"/>
                <w:w w:val="91"/>
              </w:rPr>
              <w:t>Certification of Chief Executive Officer pursuant to 18 U.S.C. Section 1350, as adopted pursuant to Section 302 of the Sarbanes-Oxley Act of</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13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60" w:type="dxa"/>
            <w:vAlign w:val="bottom"/>
            <w:gridSpan w:val="7"/>
          </w:tcPr>
          <w:p>
            <w:pPr>
              <w:spacing w:after="0" w:line="196" w:lineRule="exact"/>
              <w:rPr>
                <w:sz w:val="20"/>
                <w:szCs w:val="20"/>
                <w:color w:val="auto"/>
              </w:rPr>
            </w:pPr>
            <w:r>
              <w:rPr>
                <w:rFonts w:ascii="Arial" w:cs="Arial" w:eastAsia="Arial" w:hAnsi="Arial"/>
                <w:sz w:val="18"/>
                <w:szCs w:val="18"/>
                <w:color w:val="0000EE"/>
                <w:w w:val="91"/>
              </w:rPr>
              <w:t>Certification of Chief Financial Officer pursuant to 18 U.S.C. Section 1350, as adopted pursuant to Section 302 of the Sarbanes-Oxley Act of</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13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Certification of Chief Executive Officer and Chief Financial Officer pursuant to 18 U.S.C. Section 1350, as adopted pursuant to Section 906</w:t>
            </w:r>
          </w:p>
        </w:tc>
        <w:tc>
          <w:tcPr>
            <w:tcW w:w="160" w:type="dxa"/>
            <w:vAlign w:val="bottom"/>
            <w:gridSpan w:val="3"/>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60" w:type="dxa"/>
            <w:vAlign w:val="bottom"/>
            <w:gridSpan w:val="7"/>
          </w:tcPr>
          <w:p>
            <w:pPr>
              <w:spacing w:after="0" w:line="196" w:lineRule="exact"/>
              <w:rPr>
                <w:sz w:val="20"/>
                <w:szCs w:val="20"/>
                <w:color w:val="auto"/>
              </w:rPr>
            </w:pPr>
            <w:r>
              <w:rPr>
                <w:rFonts w:ascii="Arial" w:cs="Arial" w:eastAsia="Arial" w:hAnsi="Arial"/>
                <w:sz w:val="18"/>
                <w:szCs w:val="18"/>
                <w:color w:val="0000EE"/>
              </w:rPr>
              <w:t>of the Sarbanes-Oxley Act of 2002</w:t>
            </w:r>
          </w:p>
        </w:tc>
      </w:tr>
      <w:tr>
        <w:trPr>
          <w:trHeight w:val="210"/>
        </w:trPr>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60" w:type="dxa"/>
            <w:vAlign w:val="bottom"/>
            <w:tcBorders>
              <w:top w:val="single" w:sz="8" w:color="0000EE"/>
              <w:bottom w:val="single" w:sz="8" w:color="auto"/>
            </w:tcBorders>
          </w:tcPr>
          <w:p>
            <w:pPr>
              <w:spacing w:after="0"/>
              <w:rPr>
                <w:sz w:val="18"/>
                <w:szCs w:val="18"/>
                <w:color w:val="auto"/>
              </w:rPr>
            </w:pPr>
          </w:p>
        </w:tc>
        <w:tc>
          <w:tcPr>
            <w:tcW w:w="1340" w:type="dxa"/>
            <w:vAlign w:val="bottom"/>
            <w:tcBorders>
              <w:top w:val="single" w:sz="8" w:color="0000EE"/>
              <w:bottom w:val="single" w:sz="8" w:color="auto"/>
            </w:tcBorders>
          </w:tcPr>
          <w:p>
            <w:pPr>
              <w:spacing w:after="0"/>
              <w:rPr>
                <w:sz w:val="18"/>
                <w:szCs w:val="18"/>
                <w:color w:val="auto"/>
              </w:rPr>
            </w:pPr>
          </w:p>
        </w:tc>
        <w:tc>
          <w:tcPr>
            <w:tcW w:w="820" w:type="dxa"/>
            <w:vAlign w:val="bottom"/>
            <w:tcBorders>
              <w:top w:val="single" w:sz="8" w:color="0000EE"/>
              <w:bottom w:val="single" w:sz="8" w:color="auto"/>
            </w:tcBorders>
          </w:tcPr>
          <w:p>
            <w:pPr>
              <w:spacing w:after="0"/>
              <w:rPr>
                <w:sz w:val="18"/>
                <w:szCs w:val="18"/>
                <w:color w:val="auto"/>
              </w:rPr>
            </w:pPr>
          </w:p>
        </w:tc>
        <w:tc>
          <w:tcPr>
            <w:tcW w:w="7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24"/>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100" w:type="dxa"/>
            <w:vAlign w:val="bottom"/>
            <w:gridSpan w:val="4"/>
          </w:tcPr>
          <w:p>
            <w:pPr>
              <w:ind w:left="45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0" w:type="dxa"/>
            <w:vAlign w:val="bottom"/>
          </w:tcPr>
          <w:p>
            <w:pPr>
              <w:spacing w:after="0"/>
              <w:rPr>
                <w:sz w:val="19"/>
                <w:szCs w:val="19"/>
                <w:color w:val="auto"/>
              </w:rPr>
            </w:pPr>
          </w:p>
        </w:tc>
        <w:tc>
          <w:tcPr>
            <w:tcW w:w="10640" w:type="dxa"/>
            <w:vAlign w:val="bottom"/>
            <w:gridSpan w:val="3"/>
          </w:tcPr>
          <w:p>
            <w:pPr>
              <w:ind w:left="38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10640" w:type="dxa"/>
            <w:vAlign w:val="bottom"/>
            <w:gridSpan w:val="3"/>
          </w:tcPr>
          <w:p>
            <w:pPr>
              <w:ind w:left="380"/>
              <w:spacing w:after="0"/>
              <w:rPr>
                <w:sz w:val="20"/>
                <w:szCs w:val="20"/>
                <w:color w:val="auto"/>
              </w:rPr>
            </w:pPr>
            <w:r>
              <w:rPr>
                <w:rFonts w:ascii="Arial" w:cs="Arial" w:eastAsia="Arial" w:hAnsi="Arial"/>
                <w:sz w:val="18"/>
                <w:szCs w:val="18"/>
                <w:color w:val="auto"/>
              </w:rPr>
              <w:t>August 14, 2012</w:t>
            </w:r>
          </w:p>
        </w:tc>
      </w:tr>
      <w:tr>
        <w:trPr>
          <w:trHeight w:val="190"/>
        </w:trPr>
        <w:tc>
          <w:tcPr>
            <w:tcW w:w="780" w:type="dxa"/>
            <w:vAlign w:val="bottom"/>
          </w:tcPr>
          <w:p>
            <w:pPr>
              <w:spacing w:after="0"/>
              <w:rPr>
                <w:sz w:val="16"/>
                <w:szCs w:val="16"/>
                <w:color w:val="auto"/>
              </w:rPr>
            </w:pPr>
          </w:p>
        </w:tc>
        <w:tc>
          <w:tcPr>
            <w:tcW w:w="10640" w:type="dxa"/>
            <w:vAlign w:val="bottom"/>
            <w:gridSpan w:val="3"/>
          </w:tcPr>
          <w:p>
            <w:pPr>
              <w:ind w:left="380"/>
              <w:spacing w:after="0" w:line="190" w:lineRule="exact"/>
              <w:rPr>
                <w:sz w:val="20"/>
                <w:szCs w:val="20"/>
                <w:color w:val="auto"/>
              </w:rPr>
            </w:pPr>
            <w:r>
              <w:rPr>
                <w:rFonts w:ascii="Arial" w:cs="Arial" w:eastAsia="Arial" w:hAnsi="Arial"/>
                <w:sz w:val="18"/>
                <w:szCs w:val="18"/>
                <w:color w:val="auto"/>
              </w:rPr>
              <w:t>By: s/ David Lester</w:t>
            </w:r>
          </w:p>
        </w:tc>
      </w:tr>
      <w:tr>
        <w:trPr>
          <w:trHeight w:val="20"/>
        </w:trPr>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18"/>
        </w:trPr>
        <w:tc>
          <w:tcPr>
            <w:tcW w:w="780" w:type="dxa"/>
            <w:vAlign w:val="bottom"/>
          </w:tcPr>
          <w:p>
            <w:pPr>
              <w:spacing w:after="0"/>
              <w:rPr>
                <w:sz w:val="18"/>
                <w:szCs w:val="18"/>
                <w:color w:val="auto"/>
              </w:rPr>
            </w:pPr>
          </w:p>
        </w:tc>
        <w:tc>
          <w:tcPr>
            <w:tcW w:w="10640" w:type="dxa"/>
            <w:vAlign w:val="bottom"/>
            <w:gridSpan w:val="3"/>
          </w:tcPr>
          <w:p>
            <w:pPr>
              <w:ind w:left="380"/>
              <w:spacing w:after="0"/>
              <w:rPr>
                <w:sz w:val="20"/>
                <w:szCs w:val="20"/>
                <w:color w:val="auto"/>
              </w:rPr>
            </w:pPr>
            <w:r>
              <w:rPr>
                <w:rFonts w:ascii="Arial" w:cs="Arial" w:eastAsia="Arial" w:hAnsi="Arial"/>
                <w:sz w:val="18"/>
                <w:szCs w:val="18"/>
                <w:color w:val="auto"/>
              </w:rPr>
              <w:t>David Lester</w:t>
            </w:r>
          </w:p>
        </w:tc>
      </w:tr>
      <w:tr>
        <w:trPr>
          <w:trHeight w:val="234"/>
        </w:trPr>
        <w:tc>
          <w:tcPr>
            <w:tcW w:w="780" w:type="dxa"/>
            <w:vAlign w:val="bottom"/>
          </w:tcPr>
          <w:p>
            <w:pPr>
              <w:spacing w:after="0"/>
              <w:rPr>
                <w:sz w:val="20"/>
                <w:szCs w:val="20"/>
                <w:color w:val="auto"/>
              </w:rPr>
            </w:pPr>
          </w:p>
        </w:tc>
        <w:tc>
          <w:tcPr>
            <w:tcW w:w="10640" w:type="dxa"/>
            <w:vAlign w:val="bottom"/>
            <w:gridSpan w:val="3"/>
          </w:tcPr>
          <w:p>
            <w:pPr>
              <w:ind w:left="3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Executive Officer, Chief Financial Officer, and Director</w:t>
            </w:r>
          </w:p>
        </w:tc>
      </w:tr>
      <w:tr>
        <w:trPr>
          <w:trHeight w:val="405"/>
        </w:trPr>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r>
      <w:tr>
        <w:trPr>
          <w:trHeight w:val="224"/>
        </w:trPr>
        <w:tc>
          <w:tcPr>
            <w:tcW w:w="780" w:type="dxa"/>
            <w:vAlign w:val="bottom"/>
          </w:tcPr>
          <w:p>
            <w:pPr>
              <w:spacing w:after="0"/>
              <w:rPr>
                <w:sz w:val="19"/>
                <w:szCs w:val="19"/>
                <w:color w:val="auto"/>
              </w:rPr>
            </w:pPr>
          </w:p>
        </w:tc>
        <w:tc>
          <w:tcPr>
            <w:tcW w:w="10640" w:type="dxa"/>
            <w:vAlign w:val="bottom"/>
            <w:gridSpan w:val="3"/>
          </w:tcPr>
          <w:p>
            <w:pPr>
              <w:ind w:left="484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233" w:right="239" w:bottom="1440" w:gutter="0" w:footer="0" w:header="0"/>
        </w:sectPr>
      </w:pPr>
    </w:p>
    <w:bookmarkStart w:id="25" w:name="page26"/>
    <w:bookmarkEnd w:id="2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2012 of OptimizeRx Corporation;</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00"/>
          </w:cols>
          <w:pgMar w:left="240" w:top="121"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2012 of OptimizeRx Corporation;</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00"/>
          </w:cols>
          <w:pgMar w:left="240" w:top="121"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t>CERTIFICATION OF CHIEF EXECUTIVE OFFICER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of OptimizeRx Corporation (the “Company”) on Form 10-Q for the quarter ended June 30, 2012 filed with the Securities and Exchange Commission (the “Report”), I, David Lester, Chief Executive Officer and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ectPr>
          <w:pgSz w:w="11900" w:h="16838" w:orient="portrait"/>
          <w:cols w:equalWidth="0" w:num="1">
            <w:col w:w="11420"/>
          </w:cols>
          <w:pgMar w:left="240" w:top="125" w:right="239" w:bottom="1440" w:gutter="0" w:footer="0" w:header="0"/>
        </w:sectPr>
      </w:pP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gridSpan w:val="2"/>
          </w:tcPr>
          <w:p>
            <w:pPr>
              <w:spacing w:after="0"/>
              <w:rPr>
                <w:sz w:val="20"/>
                <w:szCs w:val="20"/>
                <w:color w:val="auto"/>
              </w:rPr>
            </w:pPr>
            <w:r>
              <w:rPr>
                <w:rFonts w:ascii="Arial" w:cs="Arial" w:eastAsia="Arial" w:hAnsi="Arial"/>
                <w:sz w:val="18"/>
                <w:szCs w:val="18"/>
                <w:color w:val="auto"/>
              </w:rPr>
              <w:t>/s/ David Lester</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Lester</w:t>
            </w:r>
          </w:p>
        </w:tc>
        <w:tc>
          <w:tcPr>
            <w:tcW w:w="314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spacing w:after="0"/>
              <w:rPr>
                <w:sz w:val="20"/>
                <w:szCs w:val="20"/>
                <w:color w:val="auto"/>
              </w:rPr>
            </w:pPr>
            <w:r>
              <w:rPr>
                <w:rFonts w:ascii="Arial" w:cs="Arial" w:eastAsia="Arial" w:hAnsi="Arial"/>
                <w:sz w:val="18"/>
                <w:szCs w:val="18"/>
                <w:color w:val="auto"/>
                <w:w w:val="92"/>
              </w:rPr>
              <w:t>Principal Executive Officer, Principal Financial Officer and</w:t>
            </w:r>
          </w:p>
        </w:tc>
      </w:tr>
      <w:tr>
        <w:trPr>
          <w:trHeight w:val="216"/>
        </w:trPr>
        <w:tc>
          <w:tcPr>
            <w:tcW w:w="7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gridSpan w:val="2"/>
          </w:tcPr>
          <w:p>
            <w:pPr>
              <w:spacing w:after="0"/>
              <w:rPr>
                <w:sz w:val="20"/>
                <w:szCs w:val="20"/>
                <w:color w:val="auto"/>
              </w:rPr>
            </w:pPr>
            <w:r>
              <w:rPr>
                <w:rFonts w:ascii="Arial" w:cs="Arial" w:eastAsia="Arial" w:hAnsi="Arial"/>
                <w:sz w:val="18"/>
                <w:szCs w:val="18"/>
                <w:color w:val="auto"/>
              </w:rPr>
              <w:t>August 14, 2012</w:t>
            </w:r>
          </w:p>
        </w:tc>
      </w:tr>
    </w:tbl>
    <w:p>
      <w:pPr>
        <w:spacing w:after="0" w:line="1" w:lineRule="exact"/>
        <w:rPr>
          <w:sz w:val="20"/>
          <w:szCs w:val="20"/>
          <w:color w:val="auto"/>
        </w:rPr>
      </w:pPr>
    </w:p>
    <w:sectPr>
      <w:pgSz w:w="11900" w:h="16838" w:orient="portrait"/>
      <w:cols w:equalWidth="0" w:num="2">
        <w:col w:w="6080" w:space="200"/>
        <w:col w:w="514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lowerLetter"/>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2019-12-09T19:32:55Z</dcterms:created>
  <dcterms:modified xsi:type="dcterms:W3CDTF">2019-12-09T19:32:55Z</dcterms:modified>
</cp:coreProperties>
</file>