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68401U204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October 24,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240" w:hanging="4"/>
        <w:spacing w:after="0" w:line="226" w:lineRule="exact"/>
        <w:tabs>
          <w:tab w:leader="none" w:pos="98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rFonts w:ascii="MS PGothic" w:cs="MS PGothic" w:eastAsia="MS PGothic" w:hAnsi="MS PGothic"/>
          <w:sz w:val="18"/>
          <w:szCs w:val="18"/>
          <w:color w:val="auto"/>
        </w:rPr>
      </w:pPr>
    </w:p>
    <w:p>
      <w:pPr>
        <w:ind w:left="3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3"/>
        </w:trPr>
        <w:tc>
          <w:tcPr>
            <w:tcW w:w="1980" w:type="dxa"/>
            <w:vAlign w:val="bottom"/>
            <w:tcBorders>
              <w:top w:val="single" w:sz="8" w:color="auto"/>
              <w:lef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68401U204</w:t>
            </w:r>
          </w:p>
        </w:tc>
        <w:tc>
          <w:tcPr>
            <w:tcW w:w="52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38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8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Page 2 of 5</w:t>
            </w:r>
          </w:p>
        </w:tc>
        <w:tc>
          <w:tcPr>
            <w:tcW w:w="0" w:type="dxa"/>
            <w:vAlign w:val="bottom"/>
          </w:tcPr>
          <w:p>
            <w:pPr>
              <w:spacing w:after="0"/>
              <w:rPr>
                <w:sz w:val="1"/>
                <w:szCs w:val="1"/>
                <w:color w:val="auto"/>
              </w:rPr>
            </w:pPr>
          </w:p>
        </w:tc>
      </w:tr>
      <w:tr>
        <w:trPr>
          <w:trHeight w:val="109"/>
        </w:trPr>
        <w:tc>
          <w:tcPr>
            <w:tcW w:w="5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spacing w:after="0"/>
              <w:rPr>
                <w:sz w:val="19"/>
                <w:szCs w:val="19"/>
                <w:color w:val="auto"/>
              </w:rPr>
            </w:pPr>
          </w:p>
        </w:tc>
        <w:tc>
          <w:tcPr>
            <w:tcW w:w="5920" w:type="dxa"/>
            <w:vAlign w:val="bottom"/>
            <w:tcBorders>
              <w:bottom w:val="single" w:sz="8" w:color="auto"/>
            </w:tcBorders>
            <w:gridSpan w:val="3"/>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320" w:type="dxa"/>
            <w:vAlign w:val="bottom"/>
            <w:tcBorders>
              <w:right w:val="single" w:sz="8" w:color="auto"/>
            </w:tcBorders>
          </w:tcPr>
          <w:p>
            <w:pPr>
              <w:spacing w:after="0"/>
              <w:rPr>
                <w:sz w:val="23"/>
                <w:szCs w:val="23"/>
                <w:color w:val="auto"/>
              </w:rPr>
            </w:pPr>
          </w:p>
        </w:tc>
        <w:tc>
          <w:tcPr>
            <w:tcW w:w="75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06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6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Michael Weintraub</w:t>
            </w:r>
          </w:p>
        </w:tc>
        <w:tc>
          <w:tcPr>
            <w:tcW w:w="1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5920" w:type="dxa"/>
            <w:vAlign w:val="bottom"/>
            <w:tcBorders>
              <w:bottom w:val="single" w:sz="8" w:color="auto"/>
            </w:tcBorders>
            <w:gridSpan w:val="3"/>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320" w:type="dxa"/>
            <w:vAlign w:val="bottom"/>
            <w:tcBorders>
              <w:right w:val="single" w:sz="8" w:color="auto"/>
            </w:tcBorders>
          </w:tcPr>
          <w:p>
            <w:pPr>
              <w:spacing w:after="0"/>
              <w:rPr>
                <w:sz w:val="18"/>
                <w:szCs w:val="18"/>
                <w:color w:val="auto"/>
              </w:rPr>
            </w:pPr>
          </w:p>
        </w:tc>
        <w:tc>
          <w:tcPr>
            <w:tcW w:w="75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w:t>
            </w:r>
          </w:p>
        </w:tc>
        <w:tc>
          <w:tcPr>
            <w:tcW w:w="176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5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w:t>
            </w:r>
          </w:p>
        </w:tc>
        <w:tc>
          <w:tcPr>
            <w:tcW w:w="176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320" w:type="dxa"/>
            <w:vAlign w:val="bottom"/>
            <w:tcBorders>
              <w:right w:val="single" w:sz="8" w:color="auto"/>
            </w:tcBorders>
          </w:tcPr>
          <w:p>
            <w:pPr>
              <w:spacing w:after="0"/>
              <w:rPr>
                <w:sz w:val="23"/>
                <w:szCs w:val="23"/>
                <w:color w:val="auto"/>
              </w:rPr>
            </w:pPr>
          </w:p>
        </w:tc>
        <w:tc>
          <w:tcPr>
            <w:tcW w:w="16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12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5920" w:type="dxa"/>
            <w:vAlign w:val="bottom"/>
            <w:tcBorders>
              <w:bottom w:val="single" w:sz="8" w:color="auto"/>
            </w:tcBorders>
            <w:gridSpan w:val="3"/>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320" w:type="dxa"/>
            <w:vAlign w:val="bottom"/>
            <w:tcBorders>
              <w:right w:val="single" w:sz="8" w:color="auto"/>
            </w:tcBorders>
          </w:tcPr>
          <w:p>
            <w:pPr>
              <w:spacing w:after="0"/>
              <w:rPr>
                <w:sz w:val="23"/>
                <w:szCs w:val="23"/>
                <w:color w:val="auto"/>
              </w:rPr>
            </w:pPr>
          </w:p>
        </w:tc>
        <w:tc>
          <w:tcPr>
            <w:tcW w:w="75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6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75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6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gridSpan w:val="3"/>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5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106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1720" w:type="dxa"/>
            <w:vAlign w:val="bottom"/>
            <w:tcBorders>
              <w:right w:val="single" w:sz="8" w:color="auto"/>
            </w:tcBorders>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1,384,467</w:t>
            </w: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720" w:type="dxa"/>
            <w:vAlign w:val="bottom"/>
            <w:tcBorders>
              <w:right w:val="single" w:sz="8" w:color="auto"/>
            </w:tcBorders>
            <w:gridSpan w:val="4"/>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20" w:type="dxa"/>
            <w:vAlign w:val="bottom"/>
            <w:tcBorders>
              <w:right w:val="single" w:sz="8" w:color="auto"/>
            </w:tcBorders>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5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1060" w:type="dxa"/>
            <w:vAlign w:val="bottom"/>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20" w:type="dxa"/>
            <w:vAlign w:val="bottom"/>
          </w:tcPr>
          <w:p>
            <w:pPr>
              <w:spacing w:after="0"/>
              <w:rPr>
                <w:sz w:val="12"/>
                <w:szCs w:val="12"/>
                <w:color w:val="auto"/>
              </w:rPr>
            </w:pPr>
          </w:p>
        </w:tc>
        <w:tc>
          <w:tcPr>
            <w:tcW w:w="120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592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520" w:type="dxa"/>
            <w:vAlign w:val="bottom"/>
          </w:tcPr>
          <w:p>
            <w:pPr>
              <w:spacing w:after="0"/>
              <w:rPr>
                <w:sz w:val="6"/>
                <w:szCs w:val="6"/>
                <w:color w:val="auto"/>
              </w:rPr>
            </w:pPr>
          </w:p>
        </w:tc>
        <w:tc>
          <w:tcPr>
            <w:tcW w:w="1200" w:type="dxa"/>
            <w:vAlign w:val="bottom"/>
            <w:tcBorders>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3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7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124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720" w:type="dxa"/>
            <w:vAlign w:val="bottom"/>
            <w:tcBorders>
              <w:right w:val="single" w:sz="8" w:color="auto"/>
            </w:tcBorders>
            <w:gridSpan w:val="4"/>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720" w:type="dxa"/>
            <w:vAlign w:val="bottom"/>
            <w:tcBorders>
              <w:right w:val="single" w:sz="8" w:color="auto"/>
            </w:tcBorders>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5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1060" w:type="dxa"/>
            <w:vAlign w:val="bottom"/>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5920" w:type="dxa"/>
            <w:vAlign w:val="bottom"/>
            <w:gridSpan w:val="3"/>
            <w:vMerge w:val="continue"/>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1,384,467</w:t>
            </w: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3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720" w:type="dxa"/>
            <w:vAlign w:val="bottom"/>
            <w:tcBorders>
              <w:right w:val="single" w:sz="8" w:color="auto"/>
            </w:tcBorders>
            <w:gridSpan w:val="4"/>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5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6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gridSpan w:val="2"/>
          </w:tcPr>
          <w:p>
            <w:pPr>
              <w:spacing w:after="0"/>
              <w:rPr>
                <w:sz w:val="5"/>
                <w:szCs w:val="5"/>
                <w:color w:val="auto"/>
              </w:rPr>
            </w:pPr>
          </w:p>
        </w:tc>
        <w:tc>
          <w:tcPr>
            <w:tcW w:w="5920" w:type="dxa"/>
            <w:vAlign w:val="bottom"/>
            <w:tcBorders>
              <w:bottom w:val="single" w:sz="8" w:color="auto"/>
            </w:tcBorders>
            <w:gridSpan w:val="3"/>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320" w:type="dxa"/>
            <w:vAlign w:val="bottom"/>
            <w:tcBorders>
              <w:right w:val="single" w:sz="8" w:color="auto"/>
            </w:tcBorders>
          </w:tcPr>
          <w:p>
            <w:pPr>
              <w:spacing w:after="0"/>
              <w:rPr>
                <w:sz w:val="23"/>
                <w:szCs w:val="23"/>
                <w:color w:val="auto"/>
              </w:rPr>
            </w:pPr>
          </w:p>
        </w:tc>
        <w:tc>
          <w:tcPr>
            <w:tcW w:w="75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6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1,384,467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7560" w:type="dxa"/>
            <w:vAlign w:val="bottom"/>
            <w:tcBorders>
              <w:bottom w:val="single" w:sz="8" w:color="auto"/>
            </w:tcBorders>
            <w:gridSpan w:val="6"/>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20" w:type="dxa"/>
            <w:vAlign w:val="bottom"/>
            <w:tcBorders>
              <w:right w:val="single" w:sz="8" w:color="auto"/>
            </w:tcBorders>
          </w:tcPr>
          <w:p>
            <w:pPr>
              <w:spacing w:after="0"/>
              <w:rPr>
                <w:sz w:val="24"/>
                <w:szCs w:val="24"/>
                <w:color w:val="auto"/>
              </w:rPr>
            </w:pPr>
          </w:p>
        </w:tc>
        <w:tc>
          <w:tcPr>
            <w:tcW w:w="864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76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60"/>
        </w:trPr>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6500" w:type="dxa"/>
            <w:vAlign w:val="bottom"/>
            <w:tcBorders>
              <w:bottom w:val="single" w:sz="8" w:color="auto"/>
            </w:tcBorders>
            <w:gridSpan w:val="5"/>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320" w:type="dxa"/>
            <w:vAlign w:val="bottom"/>
            <w:tcBorders>
              <w:right w:val="single" w:sz="8" w:color="auto"/>
            </w:tcBorders>
          </w:tcPr>
          <w:p>
            <w:pPr>
              <w:spacing w:after="0"/>
              <w:rPr>
                <w:sz w:val="23"/>
                <w:szCs w:val="23"/>
                <w:color w:val="auto"/>
              </w:rPr>
            </w:pPr>
          </w:p>
        </w:tc>
        <w:tc>
          <w:tcPr>
            <w:tcW w:w="75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6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6500" w:type="dxa"/>
            <w:vAlign w:val="bottom"/>
            <w:tcBorders>
              <w:bottom w:val="single" w:sz="8" w:color="auto"/>
            </w:tcBorders>
            <w:gridSpan w:val="5"/>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20" w:type="dxa"/>
            <w:vAlign w:val="bottom"/>
            <w:tcBorders>
              <w:right w:val="single" w:sz="8" w:color="auto"/>
            </w:tcBorders>
          </w:tcPr>
          <w:p>
            <w:pPr>
              <w:spacing w:after="0"/>
              <w:rPr>
                <w:sz w:val="23"/>
                <w:szCs w:val="23"/>
                <w:color w:val="auto"/>
              </w:rPr>
            </w:pPr>
          </w:p>
        </w:tc>
        <w:tc>
          <w:tcPr>
            <w:tcW w:w="75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06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2"/>
        </w:trPr>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98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Page 3 of 5</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20"/>
        </w:trPr>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OptimizeRx Corporation (the “Issuer”)</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20"/>
        </w:trPr>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260 Charles Street, Suite 302, Waltham, MA 02453</w:t>
            </w: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0"/>
        </w:trPr>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Michael Weintraub (the “Reporting Person”)</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34"/>
        </w:trPr>
        <w:tc>
          <w:tcPr>
            <w:tcW w:w="980" w:type="dxa"/>
            <w:vAlign w:val="bottom"/>
          </w:tcPr>
          <w:p>
            <w:pPr>
              <w:spacing w:after="0"/>
              <w:rPr>
                <w:sz w:val="24"/>
                <w:szCs w:val="24"/>
                <w:color w:val="auto"/>
              </w:rPr>
            </w:pPr>
          </w:p>
        </w:tc>
        <w:tc>
          <w:tcPr>
            <w:tcW w:w="42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10799 N 90th Street, Suite 200</w:t>
            </w:r>
          </w:p>
        </w:tc>
        <w:tc>
          <w:tcPr>
            <w:tcW w:w="59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Scottsdale, AZ 85260</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Citizenship:</w:t>
            </w:r>
          </w:p>
        </w:tc>
      </w:tr>
      <w:tr>
        <w:trPr>
          <w:trHeight w:val="20"/>
        </w:trPr>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20"/>
        </w:trPr>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Common Stock, par value $0.001 per share (“Common Stock”)</w:t>
            </w: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CUSIP Number:</w:t>
            </w:r>
          </w:p>
        </w:tc>
      </w:tr>
      <w:tr>
        <w:trPr>
          <w:trHeight w:val="453"/>
        </w:trPr>
        <w:tc>
          <w:tcPr>
            <w:tcW w:w="980" w:type="dxa"/>
            <w:vAlign w:val="bottom"/>
          </w:tcPr>
          <w:p>
            <w:pPr>
              <w:spacing w:after="0"/>
              <w:rPr>
                <w:sz w:val="24"/>
                <w:szCs w:val="24"/>
                <w:color w:val="auto"/>
              </w:rPr>
            </w:pPr>
          </w:p>
        </w:tc>
        <w:tc>
          <w:tcPr>
            <w:tcW w:w="1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68401U204</w:t>
            </w:r>
          </w:p>
        </w:tc>
        <w:tc>
          <w:tcPr>
            <w:tcW w:w="9120" w:type="dxa"/>
            <w:vAlign w:val="bottom"/>
            <w:gridSpan w:val="5"/>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Ownership:</w:t>
            </w:r>
          </w:p>
        </w:tc>
      </w:tr>
      <w:tr>
        <w:trPr>
          <w:trHeight w:val="20"/>
        </w:trPr>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80" w:type="dxa"/>
            <w:vAlign w:val="bottom"/>
            <w:gridSpan w:val="7"/>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describes the ownership of Common Stock by the Reporting Person as of October 24, 2023:</w:t>
            </w:r>
          </w:p>
        </w:tc>
      </w:tr>
      <w:tr>
        <w:trPr>
          <w:trHeight w:val="432"/>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Amount beneficially owned: 1,384,467 shares of Common Stock.</w:t>
            </w:r>
          </w:p>
        </w:tc>
      </w:tr>
      <w:tr>
        <w:trPr>
          <w:trHeight w:val="414"/>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filing of this Schedule 13G shall not be construed as an admission that (a) the Reporting Person is, for purposes of Section 13(d) or 13(g)</w:t>
            </w:r>
          </w:p>
        </w:tc>
      </w:tr>
      <w:tr>
        <w:trPr>
          <w:trHeight w:val="216"/>
        </w:trPr>
        <w:tc>
          <w:tcPr>
            <w:tcW w:w="980" w:type="dxa"/>
            <w:vAlign w:val="bottom"/>
          </w:tcPr>
          <w:p>
            <w:pPr>
              <w:spacing w:after="0"/>
              <w:rPr>
                <w:sz w:val="18"/>
                <w:szCs w:val="18"/>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the Act, the beneficial owner of any equity securities covered by this Schedule 13G or (b) that this Schedule 13G is legally required to be</w:t>
            </w:r>
          </w:p>
        </w:tc>
      </w:tr>
      <w:tr>
        <w:trPr>
          <w:trHeight w:val="234"/>
        </w:trPr>
        <w:tc>
          <w:tcPr>
            <w:tcW w:w="98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filed by the Reporting Person.</w:t>
            </w:r>
          </w:p>
        </w:tc>
      </w:tr>
      <w:tr>
        <w:trPr>
          <w:trHeight w:val="432"/>
        </w:trPr>
        <w:tc>
          <w:tcPr>
            <w:tcW w:w="980" w:type="dxa"/>
            <w:vAlign w:val="bottom"/>
          </w:tcPr>
          <w:p>
            <w:pPr>
              <w:spacing w:after="0"/>
              <w:rPr>
                <w:sz w:val="24"/>
                <w:szCs w:val="24"/>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  Percent of class: 7.6% (based on 18,148,829 shares of Common Stock outstanding as of October 24, 2023)</w:t>
            </w:r>
          </w:p>
        </w:tc>
      </w:tr>
      <w:tr>
        <w:trPr>
          <w:trHeight w:val="682"/>
        </w:trPr>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Page 4 of 5</w:t>
            </w:r>
          </w:p>
        </w:tc>
      </w:tr>
      <w:tr>
        <w:trPr>
          <w:trHeight w:val="432"/>
        </w:trPr>
        <w:tc>
          <w:tcPr>
            <w:tcW w:w="980" w:type="dxa"/>
            <w:vAlign w:val="bottom"/>
          </w:tcPr>
          <w:p>
            <w:pPr>
              <w:spacing w:after="0"/>
              <w:rPr>
                <w:sz w:val="24"/>
                <w:szCs w:val="24"/>
                <w:color w:val="auto"/>
              </w:rPr>
            </w:pP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  Number of shares as to which the Reporting Person has:</w:t>
            </w:r>
          </w:p>
        </w:tc>
      </w:tr>
      <w:tr>
        <w:trPr>
          <w:trHeight w:val="432"/>
        </w:trPr>
        <w:tc>
          <w:tcPr>
            <w:tcW w:w="980" w:type="dxa"/>
            <w:vAlign w:val="bottom"/>
          </w:tcPr>
          <w:p>
            <w:pPr>
              <w:spacing w:after="0"/>
              <w:rPr>
                <w:sz w:val="24"/>
                <w:szCs w:val="24"/>
                <w:color w:val="auto"/>
              </w:rPr>
            </w:pPr>
          </w:p>
        </w:tc>
        <w:tc>
          <w:tcPr>
            <w:tcW w:w="102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(i)  sole power to vote or to direct the vote: 1,384,467</w:t>
            </w:r>
          </w:p>
        </w:tc>
      </w:tr>
      <w:tr>
        <w:trPr>
          <w:trHeight w:val="432"/>
        </w:trPr>
        <w:tc>
          <w:tcPr>
            <w:tcW w:w="980" w:type="dxa"/>
            <w:vAlign w:val="bottom"/>
          </w:tcPr>
          <w:p>
            <w:pPr>
              <w:spacing w:after="0"/>
              <w:rPr>
                <w:sz w:val="24"/>
                <w:szCs w:val="24"/>
                <w:color w:val="auto"/>
              </w:rPr>
            </w:pPr>
          </w:p>
        </w:tc>
        <w:tc>
          <w:tcPr>
            <w:tcW w:w="102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(ii) shared power to vote or to direct the vote: 0</w:t>
            </w:r>
          </w:p>
        </w:tc>
      </w:tr>
      <w:tr>
        <w:trPr>
          <w:trHeight w:val="432"/>
        </w:trPr>
        <w:tc>
          <w:tcPr>
            <w:tcW w:w="980" w:type="dxa"/>
            <w:vAlign w:val="bottom"/>
          </w:tcPr>
          <w:p>
            <w:pPr>
              <w:spacing w:after="0"/>
              <w:rPr>
                <w:sz w:val="24"/>
                <w:szCs w:val="24"/>
                <w:color w:val="auto"/>
              </w:rPr>
            </w:pPr>
          </w:p>
        </w:tc>
        <w:tc>
          <w:tcPr>
            <w:tcW w:w="102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 1,384,467</w:t>
            </w:r>
          </w:p>
        </w:tc>
      </w:tr>
      <w:tr>
        <w:trPr>
          <w:trHeight w:val="432"/>
        </w:trPr>
        <w:tc>
          <w:tcPr>
            <w:tcW w:w="980" w:type="dxa"/>
            <w:vAlign w:val="bottom"/>
          </w:tcPr>
          <w:p>
            <w:pPr>
              <w:spacing w:after="0"/>
              <w:rPr>
                <w:sz w:val="24"/>
                <w:szCs w:val="24"/>
                <w:color w:val="auto"/>
              </w:rPr>
            </w:pPr>
          </w:p>
        </w:tc>
        <w:tc>
          <w:tcPr>
            <w:tcW w:w="102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r>
      <w:tr>
        <w:trPr>
          <w:trHeight w:val="453"/>
        </w:trPr>
        <w:tc>
          <w:tcPr>
            <w:tcW w:w="980" w:type="dxa"/>
            <w:vAlign w:val="bottom"/>
          </w:tcPr>
          <w:p>
            <w:pPr>
              <w:spacing w:after="0"/>
              <w:rPr>
                <w:sz w:val="24"/>
                <w:szCs w:val="24"/>
                <w:color w:val="auto"/>
              </w:rPr>
            </w:pPr>
          </w:p>
        </w:tc>
        <w:tc>
          <w:tcPr>
            <w:tcW w:w="3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000" w:type="dxa"/>
            <w:vAlign w:val="bottom"/>
            <w:gridSpan w:val="3"/>
          </w:tcPr>
          <w:p>
            <w:pPr>
              <w:spacing w:after="0"/>
              <w:rPr>
                <w:sz w:val="24"/>
                <w:szCs w:val="24"/>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tc>
      </w:tr>
      <w:tr>
        <w:trPr>
          <w:trHeight w:val="453"/>
        </w:trPr>
        <w:tc>
          <w:tcPr>
            <w:tcW w:w="980" w:type="dxa"/>
            <w:vAlign w:val="bottom"/>
          </w:tcPr>
          <w:p>
            <w:pPr>
              <w:spacing w:after="0"/>
              <w:rPr>
                <w:sz w:val="24"/>
                <w:szCs w:val="24"/>
                <w:color w:val="auto"/>
              </w:rPr>
            </w:pPr>
          </w:p>
        </w:tc>
        <w:tc>
          <w:tcPr>
            <w:tcW w:w="49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360" w:type="dxa"/>
            <w:vAlign w:val="bottom"/>
          </w:tcPr>
          <w:p>
            <w:pPr>
              <w:spacing w:after="0"/>
              <w:rPr>
                <w:sz w:val="24"/>
                <w:szCs w:val="24"/>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w:t>
            </w:r>
          </w:p>
        </w:tc>
      </w:tr>
      <w:tr>
        <w:trPr>
          <w:trHeight w:val="196"/>
        </w:trPr>
        <w:tc>
          <w:tcPr>
            <w:tcW w:w="98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Control Person:</w:t>
            </w: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r>
      <w:tr>
        <w:trPr>
          <w:trHeight w:val="453"/>
        </w:trPr>
        <w:tc>
          <w:tcPr>
            <w:tcW w:w="980" w:type="dxa"/>
            <w:vAlign w:val="bottom"/>
          </w:tcPr>
          <w:p>
            <w:pPr>
              <w:spacing w:after="0"/>
              <w:rPr>
                <w:sz w:val="24"/>
                <w:szCs w:val="24"/>
                <w:color w:val="auto"/>
              </w:rPr>
            </w:pP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r>
      <w:tr>
        <w:trPr>
          <w:trHeight w:val="453"/>
        </w:trPr>
        <w:tc>
          <w:tcPr>
            <w:tcW w:w="980" w:type="dxa"/>
            <w:vAlign w:val="bottom"/>
          </w:tcPr>
          <w:p>
            <w:pPr>
              <w:spacing w:after="0"/>
              <w:rPr>
                <w:sz w:val="24"/>
                <w:szCs w:val="24"/>
                <w:color w:val="auto"/>
              </w:rPr>
            </w:pPr>
          </w:p>
        </w:tc>
        <w:tc>
          <w:tcPr>
            <w:tcW w:w="42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6060" w:type="dxa"/>
            <w:vAlign w:val="bottom"/>
            <w:gridSpan w:val="2"/>
          </w:tcPr>
          <w:p>
            <w:pPr>
              <w:spacing w:after="0"/>
              <w:rPr>
                <w:sz w:val="24"/>
                <w:szCs w:val="24"/>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Notice of Dissolution of Group:</w:t>
            </w:r>
          </w:p>
        </w:tc>
      </w:tr>
      <w:tr>
        <w:trPr>
          <w:trHeight w:val="453"/>
        </w:trPr>
        <w:tc>
          <w:tcPr>
            <w:tcW w:w="980" w:type="dxa"/>
            <w:vAlign w:val="bottom"/>
          </w:tcPr>
          <w:p>
            <w:pPr>
              <w:spacing w:after="0"/>
              <w:rPr>
                <w:sz w:val="24"/>
                <w:szCs w:val="24"/>
                <w:color w:val="auto"/>
              </w:rPr>
            </w:pPr>
          </w:p>
        </w:tc>
        <w:tc>
          <w:tcPr>
            <w:tcW w:w="2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8020" w:type="dxa"/>
            <w:vAlign w:val="bottom"/>
            <w:gridSpan w:val="4"/>
          </w:tcPr>
          <w:p>
            <w:pPr>
              <w:spacing w:after="0"/>
              <w:rPr>
                <w:sz w:val="24"/>
                <w:szCs w:val="24"/>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Certification</w:t>
            </w: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360" w:type="dxa"/>
            <w:vAlign w:val="bottom"/>
            <w:gridSpan w:val="6"/>
          </w:tcPr>
          <w:p>
            <w:pPr>
              <w:spacing w:after="0" w:line="20" w:lineRule="exact"/>
              <w:rPr>
                <w:sz w:val="1"/>
                <w:szCs w:val="1"/>
                <w:color w:val="auto"/>
              </w:rPr>
            </w:pPr>
          </w:p>
        </w:tc>
      </w:tr>
      <w:tr>
        <w:trPr>
          <w:trHeight w:val="434"/>
        </w:trPr>
        <w:tc>
          <w:tcPr>
            <w:tcW w:w="980" w:type="dxa"/>
            <w:vAlign w:val="bottom"/>
          </w:tcPr>
          <w:p>
            <w:pPr>
              <w:spacing w:after="0"/>
              <w:rPr>
                <w:sz w:val="24"/>
                <w:szCs w:val="24"/>
                <w:color w:val="auto"/>
              </w:rPr>
            </w:pP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w:t>
            </w:r>
          </w:p>
        </w:tc>
      </w:tr>
      <w:tr>
        <w:trPr>
          <w:trHeight w:val="216"/>
        </w:trPr>
        <w:tc>
          <w:tcPr>
            <w:tcW w:w="980" w:type="dxa"/>
            <w:vAlign w:val="bottom"/>
          </w:tcPr>
          <w:p>
            <w:pPr>
              <w:spacing w:after="0"/>
              <w:rPr>
                <w:sz w:val="18"/>
                <w:szCs w:val="18"/>
                <w:color w:val="auto"/>
              </w:rPr>
            </w:pP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purpose of or with the effect of changing or influencing the control of the issuer of the securities and were not acquired and are not held in</w:t>
            </w:r>
          </w:p>
        </w:tc>
      </w:tr>
      <w:tr>
        <w:trPr>
          <w:trHeight w:val="234"/>
        </w:trPr>
        <w:tc>
          <w:tcPr>
            <w:tcW w:w="980" w:type="dxa"/>
            <w:vAlign w:val="bottom"/>
          </w:tcPr>
          <w:p>
            <w:pPr>
              <w:spacing w:after="0"/>
              <w:rPr>
                <w:sz w:val="20"/>
                <w:szCs w:val="20"/>
                <w:color w:val="auto"/>
              </w:rPr>
            </w:pP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connection with or as a participant in any transaction having that purpose or effect.</w:t>
            </w:r>
          </w:p>
        </w:tc>
      </w:tr>
      <w:tr>
        <w:trPr>
          <w:trHeight w:val="682"/>
        </w:trPr>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380"/>
        <w:spacing w:after="0"/>
        <w:rPr>
          <w:sz w:val="20"/>
          <w:szCs w:val="20"/>
          <w:color w:val="auto"/>
        </w:rPr>
      </w:pPr>
      <w:r>
        <w:rPr>
          <w:rFonts w:ascii="Times New Roman" w:cs="Times New Roman" w:eastAsia="Times New Roman" w:hAnsi="Times New Roman"/>
          <w:sz w:val="18"/>
          <w:szCs w:val="18"/>
          <w:color w:val="auto"/>
        </w:rPr>
        <w:t>Page 5 of 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11/28/2023</w:t>
            </w:r>
          </w:p>
        </w:tc>
        <w:tc>
          <w:tcPr>
            <w:tcW w:w="716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By:  /s/ Michael Weintraub</w:t>
            </w:r>
          </w:p>
        </w:tc>
      </w:tr>
      <w:tr>
        <w:trPr>
          <w:trHeight w:val="234"/>
        </w:trPr>
        <w:tc>
          <w:tcPr>
            <w:tcW w:w="4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Michael Weintraub</w:t>
            </w:r>
          </w:p>
        </w:tc>
      </w:tr>
      <w:tr>
        <w:trPr>
          <w:trHeight w:val="637"/>
        </w:trPr>
        <w:tc>
          <w:tcPr>
            <w:tcW w:w="40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2023-11-30T01:27:34Z</dcterms:created>
  <dcterms:modified xsi:type="dcterms:W3CDTF">2023-11-30T01:27:34Z</dcterms:modified>
</cp:coreProperties>
</file>