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4565-8k_optimize.htm"/>
      <w:bookmarkStart w:id="1" w:name="ksea02945658k_optimiz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6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8_edei--EntityFileNumber_c20260609"/>
            <w:bookmarkEnd w:id="6"/>
            <w:r>
              <w:rPr>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26-1265381</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695" w:type="dxa"/>
        <w:jc w:val="left"/>
        <w:tblInd w:w="0" w:type="dxa"/>
        <w:tblLayout w:type="fixed"/>
        <w:tblCellMar>
          <w:top w:w="0" w:type="dxa"/>
          <w:left w:w="0" w:type="dxa"/>
          <w:bottom w:w="28" w:type="dxa"/>
          <w:right w:w="0" w:type="dxa"/>
        </w:tblCellMar>
      </w:tblPr>
      <w:tblGrid>
        <w:gridCol w:w="4550"/>
        <w:gridCol w:w="60"/>
        <w:gridCol w:w="1085"/>
      </w:tblGrid>
      <w:tr>
        <w:trPr/>
        <w:tc>
          <w:tcPr>
            <w:tcW w:w="4550" w:type="dxa"/>
            <w:tcBorders>
              <w:bottom w:val="single" w:sz="12" w:space="0" w:color="000000"/>
            </w:tcBorders>
            <w:vAlign w:val="center"/>
          </w:tcPr>
          <w:p>
            <w:pPr>
              <w:pStyle w:val="TableContents"/>
              <w:bidi w:val="0"/>
              <w:spacing w:before="0" w:after="283"/>
              <w:jc w:val="center"/>
              <w:rPr>
                <w:b/>
              </w:rPr>
            </w:pPr>
            <w:bookmarkStart w:id="8" w:name="xdx_902_edei--EntityAddressAddressLine1_"/>
            <w:bookmarkEnd w:id="8"/>
            <w:r>
              <w:rPr>
                <w:b/>
              </w:rPr>
              <w:t xml:space="preserve">260 Charles Street, </w:t>
            </w:r>
            <w:bookmarkStart w:id="9" w:name="xdx_904_edei--EntityAddressAddressLine2_"/>
            <w:bookmarkEnd w:id="9"/>
            <w:r>
              <w:rPr>
                <w:b/>
              </w:rPr>
              <w:t xml:space="preserve">Suite 302, </w:t>
            </w:r>
            <w:bookmarkStart w:id="10" w:name="xdx_90D_edei--EntityAddressCityOrTown_c2"/>
            <w:bookmarkEnd w:id="10"/>
            <w:r>
              <w:rPr>
                <w:b/>
              </w:rPr>
              <w:t xml:space="preserve">Waltham, </w:t>
            </w:r>
            <w:bookmarkStart w:id="11" w:name="xdx_906_edei--EntityAddressStateOrProvin"/>
            <w:bookmarkEnd w:id="11"/>
            <w:r>
              <w:rPr>
                <w:b/>
              </w:rPr>
              <w:t>MA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2" w:name="xdx_90C_edei--EntityAddressPostalZipCode"/>
            <w:bookmarkEnd w:id="12"/>
            <w:r>
              <w:rPr>
                <w:b/>
              </w:rPr>
              <w:t>02453</w:t>
            </w:r>
          </w:p>
        </w:tc>
      </w:tr>
      <w:tr>
        <w:trPr/>
        <w:tc>
          <w:tcPr>
            <w:tcW w:w="455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609__20"/>
      <w:bookmarkEnd w:id="13"/>
      <w:r>
        <w:rPr>
          <w:rFonts w:ascii="Times New Roman;Times;Serif" w:hAnsi="Times New Roman;Times;Serif"/>
          <w:b/>
          <w:i w:val="false"/>
          <w:caps w:val="false"/>
          <w:smallCaps w:val="false"/>
          <w:sz w:val="20"/>
          <w:u w:val="single"/>
        </w:rPr>
        <w:t>248-</w:t>
      </w:r>
      <w:bookmarkStart w:id="14" w:name="xdx_908_edei--LocalPhoneNumber_c20260609"/>
      <w:bookmarkEnd w:id="14"/>
      <w:r>
        <w:rPr>
          <w:rFonts w:ascii="Times New Roman;Times;Serif" w:hAnsi="Times New Roman;Times;Serif"/>
          <w:b/>
          <w:i w:val="false"/>
          <w:caps w:val="false"/>
          <w:smallCaps w:val="false"/>
          <w:sz w:val="20"/>
          <w:u w:val="single"/>
        </w:rPr>
        <w:t>651-6568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Not Applicable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B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283"/>
        <w:jc w:val="left"/>
        <w:rPr/>
      </w:pPr>
      <w:r>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606"/>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7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28" w:type="dxa"/>
          <w:right w:w="0" w:type="dxa"/>
        </w:tblCellMar>
      </w:tblPr>
      <w:tblGrid>
        <w:gridCol w:w="2780"/>
        <w:gridCol w:w="60"/>
        <w:gridCol w:w="86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19" w:name="xdx_90F_edei--Security12bTitle_c20260609"/>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60" w:type="dxa"/>
            <w:tcBorders/>
            <w:shd w:fill="CCEEFF" w:val="clear"/>
            <w:tcMar>
              <w:bottom w:w="0" w:type="dxa"/>
            </w:tcMar>
            <w:vAlign w:val="center"/>
          </w:tcPr>
          <w:p>
            <w:pPr>
              <w:pStyle w:val="TableContents"/>
              <w:bidi w:val="0"/>
              <w:spacing w:before="0" w:after="283"/>
              <w:jc w:val="center"/>
              <w:rPr>
                <w:sz w:val="20"/>
              </w:rPr>
            </w:pPr>
            <w:bookmarkStart w:id="20" w:name="xdx_904_edei--TradingSymbol_c20260609__2"/>
            <w:bookmarkEnd w:id="20"/>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9_edei--SecurityExchangeName_c2026"/>
            <w:bookmarkEnd w:id="21"/>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June 9, 2026, at the OptimizeRx Corporation (the “Company”) </w:t>
      </w:r>
      <w:r>
        <w:rPr>
          <w:rFonts w:ascii="Times New Roman;Times;Serif" w:hAnsi="Times New Roman;Times;Serif"/>
          <w:b w:val="false"/>
          <w:i w:val="false"/>
          <w:caps w:val="false"/>
          <w:smallCaps w:val="false"/>
          <w:sz w:val="20"/>
        </w:rPr>
        <w:t>2026 Annual Meeting of Shareholders (“Annual Meeting”)</w:t>
      </w:r>
      <w:r>
        <w:rPr>
          <w:rFonts w:ascii="Times New Roman;Times;Serif" w:hAnsi="Times New Roman;Times;Serif"/>
          <w:b w:val="false"/>
          <w:i w:val="false"/>
          <w:caps w:val="false"/>
          <w:smallCaps w:val="false"/>
          <w:sz w:val="20"/>
          <w:shd w:fill="FFFFFF" w:val="clear"/>
        </w:rPr>
        <w:t>, shareholders approved an amendment (the “Amendment No. 2”) to the OptimizeRx Corporation 2021 Equity Incentive Plan (the “Equity Plan”) to increase the number of shares of common stock</w:t>
      </w:r>
      <w:r>
        <w:rPr>
          <w:rFonts w:ascii="Times New Roman;Times;Serif" w:hAnsi="Times New Roman;Times;Serif"/>
          <w:b w:val="false"/>
          <w:i w:val="false"/>
          <w:caps w:val="false"/>
          <w:smallCaps w:val="false"/>
          <w:sz w:val="20"/>
        </w:rPr>
        <w:t xml:space="preserve"> (“Common Stock”) available for awards under the Equity Plan by 1,000,000 shares to 5,450,000 shares</w:t>
      </w:r>
      <w:r>
        <w:rPr>
          <w:rFonts w:ascii="Times New Roman;Times;Serif" w:hAnsi="Times New Roman;Times;Serif"/>
          <w:b w:val="false"/>
          <w:i w:val="false"/>
          <w:caps w:val="false"/>
          <w:smallCaps w:val="false"/>
          <w:sz w:val="20"/>
          <w:shd w:fill="FFFFFF" w:val="clear"/>
        </w:rPr>
        <w:t>. A summary of the material terms of the 2021 Plan is incorporated herein by reference from pages 46-54 of the Company’s proxy statement for the Annual Meeting, as filed with the SEC on April 30, 2026 (the “Proxy Statement”). The Amendment No. 2 is attached as Exhibit 10.1 to this Current Report on Form 8-K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Submission of Matters to a Vote of Security Holders</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Annual Meeting, on June 9, 2026, shareholders were asked to consider and vote upon five proposals: (1) to elect seven directors, each to serve for a term that expires at the next annual meeting of shareholders and until his or her successor has been elected and qualified or until his or her earlier death, resignation or removal; (2) to approve, on an advisory basis, the compensation of the Company’s named executive officers; (3) to approve an amendment to the Equity Plan to increase the aggregate number of shares of Common Stock available for awards under the Equity Plan by 1,000,000 shares; (4) to approve an amendment to the Equity Plan to adopt an evergreen provision providing for an automatic annual increase in the shares of Common Stock available for issuance under the Equity Plan; and (5) to ratify Grant Thornton, LLP as the Company’s independent registered public accounting firm for the fiscal year ending December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of April 10, 2026, there were 18,765,075 shares of Common Stock issued and outstanding and entitled to vote at the Annual Meeting. For each proposal, the results of the shareholder voting were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283"/>
              <w:jc w:val="left"/>
              <w:rPr/>
            </w:pPr>
            <w:r>
              <w:rPr/>
              <w:t>The following nominees were each elected to serve as director for a term that expires at the next annual meeting of shareholders and until his or her successor has been elected and qualified or until his or her earlier death, resignation or removal based upon the following votes:</w:t>
            </w:r>
          </w:p>
        </w:tc>
      </w:tr>
    </w:tbl>
    <w:p>
      <w:pPr>
        <w:pStyle w:val="TextBody"/>
        <w:bidi w:val="0"/>
        <w:spacing w:before="0" w:after="0"/>
        <w:ind w:left="36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28" w:type="dxa"/>
          <w:right w:w="0" w:type="dxa"/>
        </w:tblCellMar>
      </w:tblPr>
      <w:tblGrid>
        <w:gridCol w:w="2720"/>
        <w:gridCol w:w="60"/>
        <w:gridCol w:w="60"/>
        <w:gridCol w:w="1100"/>
        <w:gridCol w:w="60"/>
        <w:gridCol w:w="60"/>
        <w:gridCol w:w="86"/>
        <w:gridCol w:w="1418"/>
        <w:gridCol w:w="60"/>
        <w:gridCol w:w="60"/>
        <w:gridCol w:w="102"/>
        <w:gridCol w:w="1687"/>
        <w:gridCol w:w="75"/>
      </w:tblGrid>
      <w:tr>
        <w:trPr/>
        <w:tc>
          <w:tcPr>
            <w:tcW w:w="2720" w:type="dxa"/>
            <w:tcBorders>
              <w:bottom w:val="single" w:sz="12" w:space="0" w:color="000000"/>
            </w:tcBorders>
            <w:vAlign w:val="center"/>
          </w:tcPr>
          <w:p>
            <w:pPr>
              <w:pStyle w:val="TableContents"/>
              <w:bidi w:val="0"/>
              <w:spacing w:before="0" w:after="283"/>
              <w:jc w:val="left"/>
              <w:rPr/>
            </w:pPr>
            <w:r>
              <w:rPr/>
              <w:t>Nominee</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pPr>
            <w:r>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4" w:type="dxa"/>
            <w:gridSpan w:val="2"/>
            <w:tcBorders>
              <w:bottom w:val="single" w:sz="12" w:space="0" w:color="000000"/>
            </w:tcBorders>
            <w:vAlign w:val="center"/>
          </w:tcPr>
          <w:p>
            <w:pPr>
              <w:pStyle w:val="TableContents"/>
              <w:bidi w:val="0"/>
              <w:spacing w:before="0" w:after="283"/>
              <w:jc w:val="center"/>
              <w:rPr/>
            </w:pPr>
            <w:r>
              <w:rPr/>
              <w:t>Votes 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9" w:type="dxa"/>
            <w:gridSpan w:val="2"/>
            <w:tcBorders>
              <w:bottom w:val="single" w:sz="12" w:space="0" w:color="000000"/>
            </w:tcBorders>
            <w:vAlign w:val="center"/>
          </w:tcPr>
          <w:p>
            <w:pPr>
              <w:pStyle w:val="TableContents"/>
              <w:bidi w:val="0"/>
              <w:spacing w:before="0" w:after="283"/>
              <w:jc w:val="center"/>
              <w:rPr/>
            </w:pPr>
            <w:r>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Lynn O’Connor Vos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8,327,850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8" w:type="dxa"/>
            <w:tcBorders/>
            <w:shd w:fill="CCEEFF" w:val="clear"/>
            <w:tcMar>
              <w:bottom w:w="0" w:type="dxa"/>
            </w:tcMar>
            <w:vAlign w:val="center"/>
          </w:tcPr>
          <w:p>
            <w:pPr>
              <w:pStyle w:val="TableContents"/>
              <w:bidi w:val="0"/>
              <w:spacing w:before="0" w:after="283"/>
              <w:jc w:val="right"/>
              <w:rPr/>
            </w:pPr>
            <w:r>
              <w:rPr/>
              <w:t>4,325,946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87" w:type="dxa"/>
            <w:tcBorders/>
            <w:shd w:fill="CCEEFF" w:val="clear"/>
            <w:tcMar>
              <w:bottom w:w="0" w:type="dxa"/>
            </w:tcMar>
            <w:vAlign w:val="center"/>
          </w:tcPr>
          <w:p>
            <w:pPr>
              <w:pStyle w:val="TableContents"/>
              <w:bidi w:val="0"/>
              <w:spacing w:before="0" w:after="283"/>
              <w:jc w:val="right"/>
              <w:rPr/>
            </w:pPr>
            <w:r>
              <w:rPr/>
              <w:t>3,138,456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Catherine Klema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9,079,088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8" w:type="dxa"/>
            <w:tcBorders/>
            <w:shd w:fill="FFFFFF" w:val="clear"/>
            <w:tcMar>
              <w:bottom w:w="0" w:type="dxa"/>
            </w:tcMar>
            <w:vAlign w:val="center"/>
          </w:tcPr>
          <w:p>
            <w:pPr>
              <w:pStyle w:val="TableContents"/>
              <w:bidi w:val="0"/>
              <w:spacing w:before="0" w:after="283"/>
              <w:jc w:val="right"/>
              <w:rPr/>
            </w:pPr>
            <w:r>
              <w:rPr/>
              <w:t>3,574,708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687" w:type="dxa"/>
            <w:tcBorders/>
            <w:shd w:fill="FFFFFF" w:val="clear"/>
            <w:tcMar>
              <w:bottom w:w="0" w:type="dxa"/>
            </w:tcMar>
            <w:vAlign w:val="center"/>
          </w:tcPr>
          <w:p>
            <w:pPr>
              <w:pStyle w:val="TableContents"/>
              <w:bidi w:val="0"/>
              <w:spacing w:before="0" w:after="283"/>
              <w:jc w:val="right"/>
              <w:rPr/>
            </w:pPr>
            <w:r>
              <w:rPr/>
              <w:t>3,138,456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James Lang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10,329,173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8" w:type="dxa"/>
            <w:tcBorders/>
            <w:shd w:fill="CCEEFF" w:val="clear"/>
            <w:tcMar>
              <w:bottom w:w="0" w:type="dxa"/>
            </w:tcMar>
            <w:vAlign w:val="center"/>
          </w:tcPr>
          <w:p>
            <w:pPr>
              <w:pStyle w:val="TableContents"/>
              <w:bidi w:val="0"/>
              <w:spacing w:before="0" w:after="283"/>
              <w:jc w:val="right"/>
              <w:rPr/>
            </w:pPr>
            <w:r>
              <w:rPr/>
              <w:t>2,324,623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87" w:type="dxa"/>
            <w:tcBorders/>
            <w:shd w:fill="CCEEFF" w:val="clear"/>
            <w:tcMar>
              <w:bottom w:w="0" w:type="dxa"/>
            </w:tcMar>
            <w:vAlign w:val="center"/>
          </w:tcPr>
          <w:p>
            <w:pPr>
              <w:pStyle w:val="TableContents"/>
              <w:bidi w:val="0"/>
              <w:spacing w:before="0" w:after="283"/>
              <w:jc w:val="right"/>
              <w:rPr/>
            </w:pPr>
            <w:r>
              <w:rPr/>
              <w:t>3,138,456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Patrick Spangler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8,092,151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8" w:type="dxa"/>
            <w:tcBorders/>
            <w:shd w:fill="FFFFFF" w:val="clear"/>
            <w:tcMar>
              <w:bottom w:w="0" w:type="dxa"/>
            </w:tcMar>
            <w:vAlign w:val="center"/>
          </w:tcPr>
          <w:p>
            <w:pPr>
              <w:pStyle w:val="TableContents"/>
              <w:bidi w:val="0"/>
              <w:spacing w:before="0" w:after="283"/>
              <w:jc w:val="right"/>
              <w:rPr/>
            </w:pPr>
            <w:r>
              <w:rPr/>
              <w:t>4,561,645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687" w:type="dxa"/>
            <w:tcBorders/>
            <w:shd w:fill="FFFFFF" w:val="clear"/>
            <w:tcMar>
              <w:bottom w:w="0" w:type="dxa"/>
            </w:tcMar>
            <w:vAlign w:val="center"/>
          </w:tcPr>
          <w:p>
            <w:pPr>
              <w:pStyle w:val="TableContents"/>
              <w:bidi w:val="0"/>
              <w:spacing w:before="0" w:after="283"/>
              <w:jc w:val="right"/>
              <w:rPr/>
            </w:pPr>
            <w:r>
              <w:rPr/>
              <w:t>3,138,456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Mariyamma Varghese Presti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11,766,568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8" w:type="dxa"/>
            <w:tcBorders/>
            <w:shd w:fill="CCEEFF" w:val="clear"/>
            <w:tcMar>
              <w:bottom w:w="0" w:type="dxa"/>
            </w:tcMar>
            <w:vAlign w:val="center"/>
          </w:tcPr>
          <w:p>
            <w:pPr>
              <w:pStyle w:val="TableContents"/>
              <w:bidi w:val="0"/>
              <w:spacing w:before="0" w:after="283"/>
              <w:jc w:val="right"/>
              <w:rPr/>
            </w:pPr>
            <w:r>
              <w:rPr/>
              <w:t>887,228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87" w:type="dxa"/>
            <w:tcBorders/>
            <w:shd w:fill="CCEEFF" w:val="clear"/>
            <w:tcMar>
              <w:bottom w:w="0" w:type="dxa"/>
            </w:tcMar>
            <w:vAlign w:val="center"/>
          </w:tcPr>
          <w:p>
            <w:pPr>
              <w:pStyle w:val="TableContents"/>
              <w:bidi w:val="0"/>
              <w:spacing w:before="0" w:after="283"/>
              <w:jc w:val="right"/>
              <w:rPr/>
            </w:pPr>
            <w:r>
              <w:rPr/>
              <w:t>3,138,456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Gregory Wasson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10,324,948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418" w:type="dxa"/>
            <w:tcBorders/>
            <w:shd w:fill="FFFFFF" w:val="clear"/>
            <w:tcMar>
              <w:bottom w:w="0" w:type="dxa"/>
            </w:tcMar>
            <w:vAlign w:val="center"/>
          </w:tcPr>
          <w:p>
            <w:pPr>
              <w:pStyle w:val="TableContents"/>
              <w:bidi w:val="0"/>
              <w:spacing w:before="0" w:after="283"/>
              <w:jc w:val="right"/>
              <w:rPr/>
            </w:pPr>
            <w:r>
              <w:rPr/>
              <w:t>2,328,848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687" w:type="dxa"/>
            <w:tcBorders/>
            <w:shd w:fill="FFFFFF" w:val="clear"/>
            <w:tcMar>
              <w:bottom w:w="0" w:type="dxa"/>
            </w:tcMar>
            <w:vAlign w:val="center"/>
          </w:tcPr>
          <w:p>
            <w:pPr>
              <w:pStyle w:val="TableContents"/>
              <w:bidi w:val="0"/>
              <w:spacing w:before="0" w:after="283"/>
              <w:jc w:val="right"/>
              <w:rPr/>
            </w:pPr>
            <w:r>
              <w:rPr/>
              <w:t>3,138,456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Stephen Silvestro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12,160,558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418" w:type="dxa"/>
            <w:tcBorders/>
            <w:shd w:fill="CCEEFF" w:val="clear"/>
            <w:tcMar>
              <w:bottom w:w="0" w:type="dxa"/>
            </w:tcMar>
            <w:vAlign w:val="center"/>
          </w:tcPr>
          <w:p>
            <w:pPr>
              <w:pStyle w:val="TableContents"/>
              <w:bidi w:val="0"/>
              <w:spacing w:before="0" w:after="283"/>
              <w:jc w:val="right"/>
              <w:rPr/>
            </w:pPr>
            <w:r>
              <w:rPr/>
              <w:t>493,238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687" w:type="dxa"/>
            <w:tcBorders/>
            <w:shd w:fill="CCEEFF" w:val="clear"/>
            <w:tcMar>
              <w:bottom w:w="0" w:type="dxa"/>
            </w:tcMar>
            <w:vAlign w:val="center"/>
          </w:tcPr>
          <w:p>
            <w:pPr>
              <w:pStyle w:val="TableContents"/>
              <w:bidi w:val="0"/>
              <w:spacing w:before="0" w:after="283"/>
              <w:jc w:val="right"/>
              <w:rPr/>
            </w:pPr>
            <w:r>
              <w:rPr/>
              <w:t>3,138,456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2.</w:t>
            </w:r>
          </w:p>
        </w:tc>
        <w:tc>
          <w:tcPr>
            <w:tcW w:w="9992" w:type="dxa"/>
            <w:tcBorders/>
            <w:vAlign w:val="center"/>
          </w:tcPr>
          <w:p>
            <w:pPr>
              <w:pStyle w:val="TableContents"/>
              <w:bidi w:val="0"/>
              <w:spacing w:before="0" w:after="283"/>
              <w:jc w:val="left"/>
              <w:rPr/>
            </w:pPr>
            <w:r>
              <w:rPr/>
              <w:t>The compensation of the Company’s named executive officers, as described in the proxy statement, was approved on an advisory basis based upon the following votes:</w:t>
            </w:r>
          </w:p>
        </w:tc>
      </w:tr>
    </w:tbl>
    <w:p>
      <w:pPr>
        <w:pStyle w:val="TextBody"/>
        <w:bidi w:val="0"/>
        <w:spacing w:before="0" w:after="0"/>
        <w:ind w:left="0" w:right="0" w:hanging="0"/>
        <w:jc w:val="center"/>
        <w:rPr>
          <w:caps w:val="false"/>
          <w:smallCaps w:val="false"/>
        </w:rPr>
      </w:pPr>
      <w:r>
        <w:rPr>
          <w:caps w:val="false"/>
          <w:smallCaps w:val="false"/>
        </w:rPr>
        <w:t> </w:t>
      </w:r>
    </w:p>
    <w:tbl>
      <w:tblPr>
        <w:tblW w:w="5792" w:type="dxa"/>
        <w:jc w:val="left"/>
        <w:tblInd w:w="0" w:type="dxa"/>
        <w:tblLayout w:type="fixed"/>
        <w:tblCellMar>
          <w:top w:w="0" w:type="dxa"/>
          <w:left w:w="0" w:type="dxa"/>
          <w:bottom w:w="28" w:type="dxa"/>
          <w:right w:w="0" w:type="dxa"/>
        </w:tblCellMar>
      </w:tblPr>
      <w:tblGrid>
        <w:gridCol w:w="92"/>
        <w:gridCol w:w="1352"/>
        <w:gridCol w:w="60"/>
        <w:gridCol w:w="60"/>
        <w:gridCol w:w="95"/>
        <w:gridCol w:w="1274"/>
        <w:gridCol w:w="60"/>
        <w:gridCol w:w="60"/>
        <w:gridCol w:w="61"/>
        <w:gridCol w:w="694"/>
        <w:gridCol w:w="60"/>
        <w:gridCol w:w="60"/>
        <w:gridCol w:w="102"/>
        <w:gridCol w:w="1687"/>
        <w:gridCol w:w="75"/>
      </w:tblGrid>
      <w:tr>
        <w:trPr/>
        <w:tc>
          <w:tcPr>
            <w:tcW w:w="1444" w:type="dxa"/>
            <w:gridSpan w:val="2"/>
            <w:tcBorders>
              <w:bottom w:val="single" w:sz="12" w:space="0" w:color="000000"/>
            </w:tcBorders>
            <w:vAlign w:val="center"/>
          </w:tcPr>
          <w:p>
            <w:pPr>
              <w:pStyle w:val="TableContents"/>
              <w:bidi w:val="0"/>
              <w:spacing w:before="0" w:after="283"/>
              <w:jc w:val="center"/>
              <w:rPr/>
            </w:pPr>
            <w:r>
              <w:rPr/>
              <w:t>Votes in Favor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9" w:type="dxa"/>
            <w:gridSpan w:val="2"/>
            <w:tcBorders>
              <w:bottom w:val="single" w:sz="12" w:space="0" w:color="000000"/>
            </w:tcBorders>
            <w:vAlign w:val="center"/>
          </w:tcPr>
          <w:p>
            <w:pPr>
              <w:pStyle w:val="TableContents"/>
              <w:bidi w:val="0"/>
              <w:spacing w:before="0" w:after="283"/>
              <w:jc w:val="center"/>
              <w:rPr/>
            </w:pPr>
            <w:r>
              <w:rPr/>
              <w:t>Votes 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12" w:space="0" w:color="000000"/>
            </w:tcBorders>
            <w:vAlign w:val="center"/>
          </w:tcPr>
          <w:p>
            <w:pPr>
              <w:pStyle w:val="TableContents"/>
              <w:bidi w:val="0"/>
              <w:spacing w:before="0" w:after="283"/>
              <w:jc w:val="center"/>
              <w:rPr/>
            </w:pPr>
            <w:r>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89" w:type="dxa"/>
            <w:gridSpan w:val="2"/>
            <w:tcBorders>
              <w:bottom w:val="single" w:sz="12" w:space="0" w:color="000000"/>
            </w:tcBorders>
            <w:vAlign w:val="center"/>
          </w:tcPr>
          <w:p>
            <w:pPr>
              <w:pStyle w:val="TableContents"/>
              <w:bidi w:val="0"/>
              <w:spacing w:before="0" w:after="283"/>
              <w:jc w:val="center"/>
              <w:rPr/>
            </w:pPr>
            <w:r>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92" w:type="dxa"/>
            <w:tcBorders/>
            <w:shd w:fill="CCEEFF" w:val="clear"/>
            <w:tcMar>
              <w:bottom w:w="0" w:type="dxa"/>
            </w:tcMar>
            <w:vAlign w:val="center"/>
          </w:tcPr>
          <w:p>
            <w:pPr>
              <w:pStyle w:val="TableContents"/>
              <w:bidi w:val="0"/>
              <w:spacing w:before="0" w:after="283"/>
              <w:jc w:val="center"/>
              <w:rPr/>
            </w:pPr>
            <w:r>
              <w:rPr/>
              <w:t> </w:t>
            </w:r>
          </w:p>
        </w:tc>
        <w:tc>
          <w:tcPr>
            <w:tcW w:w="1352" w:type="dxa"/>
            <w:tcBorders/>
            <w:shd w:fill="CCEEFF" w:val="clear"/>
            <w:tcMar>
              <w:bottom w:w="0" w:type="dxa"/>
            </w:tcMar>
            <w:vAlign w:val="center"/>
          </w:tcPr>
          <w:p>
            <w:pPr>
              <w:pStyle w:val="TableContents"/>
              <w:bidi w:val="0"/>
              <w:spacing w:before="0" w:after="283"/>
              <w:jc w:val="center"/>
              <w:rPr/>
            </w:pPr>
            <w:r>
              <w:rPr/>
              <w:t>11,660,549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 w:type="dxa"/>
            <w:tcBorders/>
            <w:shd w:fill="CCEEFF" w:val="clear"/>
            <w:tcMar>
              <w:bottom w:w="0" w:type="dxa"/>
            </w:tcMar>
            <w:vAlign w:val="center"/>
          </w:tcPr>
          <w:p>
            <w:pPr>
              <w:pStyle w:val="TableContents"/>
              <w:bidi w:val="0"/>
              <w:spacing w:before="0" w:after="283"/>
              <w:jc w:val="center"/>
              <w:rPr/>
            </w:pPr>
            <w:r>
              <w:rPr/>
              <w:t> </w:t>
            </w:r>
          </w:p>
        </w:tc>
        <w:tc>
          <w:tcPr>
            <w:tcW w:w="1274" w:type="dxa"/>
            <w:tcBorders/>
            <w:shd w:fill="CCEEFF" w:val="clear"/>
            <w:tcMar>
              <w:bottom w:w="0" w:type="dxa"/>
            </w:tcMar>
            <w:vAlign w:val="center"/>
          </w:tcPr>
          <w:p>
            <w:pPr>
              <w:pStyle w:val="TableContents"/>
              <w:bidi w:val="0"/>
              <w:spacing w:before="0" w:after="283"/>
              <w:jc w:val="center"/>
              <w:rPr/>
            </w:pPr>
            <w:r>
              <w:rPr/>
              <w:t>895,095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98,152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2" w:type="dxa"/>
            <w:tcBorders/>
            <w:shd w:fill="CCEEFF" w:val="clear"/>
            <w:tcMar>
              <w:bottom w:w="0" w:type="dxa"/>
            </w:tcMar>
            <w:vAlign w:val="center"/>
          </w:tcPr>
          <w:p>
            <w:pPr>
              <w:pStyle w:val="TableContents"/>
              <w:bidi w:val="0"/>
              <w:spacing w:before="0" w:after="283"/>
              <w:jc w:val="center"/>
              <w:rPr/>
            </w:pPr>
            <w:r>
              <w:rPr/>
              <w:t> </w:t>
            </w:r>
          </w:p>
        </w:tc>
        <w:tc>
          <w:tcPr>
            <w:tcW w:w="1687" w:type="dxa"/>
            <w:tcBorders/>
            <w:shd w:fill="CCEEFF" w:val="clear"/>
            <w:tcMar>
              <w:bottom w:w="0" w:type="dxa"/>
            </w:tcMar>
            <w:vAlign w:val="center"/>
          </w:tcPr>
          <w:p>
            <w:pPr>
              <w:pStyle w:val="TableContents"/>
              <w:bidi w:val="0"/>
              <w:spacing w:before="0" w:after="283"/>
              <w:jc w:val="center"/>
              <w:rPr/>
            </w:pPr>
            <w:r>
              <w:rPr/>
              <w:t>3,138,456</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amendment to the Equity Plan to increase the aggregate number of shares of Common Stock available for awards under the Equity Plan by 1,000,000 shares was approved based upon the following votes:</w:t>
            </w:r>
          </w:p>
        </w:tc>
      </w:tr>
    </w:tbl>
    <w:p>
      <w:pPr>
        <w:pStyle w:val="TextBody"/>
        <w:bidi w:val="0"/>
        <w:spacing w:before="0" w:after="0"/>
        <w:ind w:left="0" w:right="0" w:hanging="0"/>
        <w:jc w:val="left"/>
        <w:rPr>
          <w:caps w:val="false"/>
          <w:smallCaps w:val="false"/>
        </w:rPr>
      </w:pPr>
      <w:r>
        <w:rPr>
          <w:caps w:val="false"/>
          <w:smallCaps w:val="false"/>
        </w:rPr>
        <w:t>  </w:t>
      </w:r>
    </w:p>
    <w:tbl>
      <w:tblPr>
        <w:tblW w:w="5792" w:type="dxa"/>
        <w:jc w:val="left"/>
        <w:tblInd w:w="0" w:type="dxa"/>
        <w:tblLayout w:type="fixed"/>
        <w:tblCellMar>
          <w:top w:w="0" w:type="dxa"/>
          <w:left w:w="0" w:type="dxa"/>
          <w:bottom w:w="28" w:type="dxa"/>
          <w:right w:w="0" w:type="dxa"/>
        </w:tblCellMar>
      </w:tblPr>
      <w:tblGrid>
        <w:gridCol w:w="92"/>
        <w:gridCol w:w="1352"/>
        <w:gridCol w:w="60"/>
        <w:gridCol w:w="60"/>
        <w:gridCol w:w="79"/>
        <w:gridCol w:w="1290"/>
        <w:gridCol w:w="60"/>
        <w:gridCol w:w="60"/>
        <w:gridCol w:w="61"/>
        <w:gridCol w:w="694"/>
        <w:gridCol w:w="60"/>
        <w:gridCol w:w="60"/>
        <w:gridCol w:w="102"/>
        <w:gridCol w:w="1687"/>
        <w:gridCol w:w="75"/>
      </w:tblGrid>
      <w:tr>
        <w:trPr/>
        <w:tc>
          <w:tcPr>
            <w:tcW w:w="1444" w:type="dxa"/>
            <w:gridSpan w:val="2"/>
            <w:tcBorders>
              <w:bottom w:val="single" w:sz="12" w:space="0" w:color="000000"/>
            </w:tcBorders>
            <w:vAlign w:val="center"/>
          </w:tcPr>
          <w:p>
            <w:pPr>
              <w:pStyle w:val="TableContents"/>
              <w:bidi w:val="0"/>
              <w:spacing w:before="0" w:after="283"/>
              <w:jc w:val="center"/>
              <w:rPr/>
            </w:pPr>
            <w:r>
              <w:rPr/>
              <w:t>Votes in Favor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9" w:type="dxa"/>
            <w:gridSpan w:val="2"/>
            <w:tcBorders>
              <w:bottom w:val="single" w:sz="12" w:space="0" w:color="000000"/>
            </w:tcBorders>
            <w:vAlign w:val="center"/>
          </w:tcPr>
          <w:p>
            <w:pPr>
              <w:pStyle w:val="TableContents"/>
              <w:bidi w:val="0"/>
              <w:spacing w:before="0" w:after="283"/>
              <w:jc w:val="center"/>
              <w:rPr/>
            </w:pPr>
            <w:r>
              <w:rPr/>
              <w:t>Votes 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12" w:space="0" w:color="000000"/>
            </w:tcBorders>
            <w:vAlign w:val="center"/>
          </w:tcPr>
          <w:p>
            <w:pPr>
              <w:pStyle w:val="TableContents"/>
              <w:bidi w:val="0"/>
              <w:spacing w:before="0" w:after="283"/>
              <w:jc w:val="center"/>
              <w:rPr/>
            </w:pPr>
            <w:r>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89" w:type="dxa"/>
            <w:gridSpan w:val="2"/>
            <w:tcBorders>
              <w:bottom w:val="single" w:sz="12" w:space="0" w:color="000000"/>
            </w:tcBorders>
            <w:vAlign w:val="center"/>
          </w:tcPr>
          <w:p>
            <w:pPr>
              <w:pStyle w:val="TableContents"/>
              <w:bidi w:val="0"/>
              <w:spacing w:before="0" w:after="283"/>
              <w:jc w:val="center"/>
              <w:rPr/>
            </w:pPr>
            <w:r>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92" w:type="dxa"/>
            <w:tcBorders/>
            <w:shd w:fill="CCEEFF" w:val="clear"/>
            <w:tcMar>
              <w:bottom w:w="0" w:type="dxa"/>
            </w:tcMar>
            <w:vAlign w:val="center"/>
          </w:tcPr>
          <w:p>
            <w:pPr>
              <w:pStyle w:val="TableContents"/>
              <w:bidi w:val="0"/>
              <w:spacing w:before="0" w:after="283"/>
              <w:jc w:val="center"/>
              <w:rPr/>
            </w:pPr>
            <w:r>
              <w:rPr/>
              <w:t> </w:t>
            </w:r>
          </w:p>
        </w:tc>
        <w:tc>
          <w:tcPr>
            <w:tcW w:w="1352" w:type="dxa"/>
            <w:tcBorders/>
            <w:shd w:fill="CCEEFF" w:val="clear"/>
            <w:tcMar>
              <w:bottom w:w="0" w:type="dxa"/>
            </w:tcMar>
            <w:vAlign w:val="center"/>
          </w:tcPr>
          <w:p>
            <w:pPr>
              <w:pStyle w:val="TableContents"/>
              <w:bidi w:val="0"/>
              <w:spacing w:before="0" w:after="283"/>
              <w:jc w:val="center"/>
              <w:rPr/>
            </w:pPr>
            <w:r>
              <w:rPr/>
              <w:t>11,541,123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1290" w:type="dxa"/>
            <w:tcBorders/>
            <w:shd w:fill="CCEEFF" w:val="clear"/>
            <w:tcMar>
              <w:bottom w:w="0" w:type="dxa"/>
            </w:tcMar>
            <w:vAlign w:val="center"/>
          </w:tcPr>
          <w:p>
            <w:pPr>
              <w:pStyle w:val="TableContents"/>
              <w:bidi w:val="0"/>
              <w:spacing w:before="0" w:after="283"/>
              <w:jc w:val="center"/>
              <w:rPr/>
            </w:pPr>
            <w:r>
              <w:rPr/>
              <w:t>1,096,197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16,476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2" w:type="dxa"/>
            <w:tcBorders/>
            <w:shd w:fill="CCEEFF" w:val="clear"/>
            <w:tcMar>
              <w:bottom w:w="0" w:type="dxa"/>
            </w:tcMar>
            <w:vAlign w:val="center"/>
          </w:tcPr>
          <w:p>
            <w:pPr>
              <w:pStyle w:val="TableContents"/>
              <w:bidi w:val="0"/>
              <w:spacing w:before="0" w:after="283"/>
              <w:jc w:val="center"/>
              <w:rPr/>
            </w:pPr>
            <w:r>
              <w:rPr/>
              <w:t> </w:t>
            </w:r>
          </w:p>
        </w:tc>
        <w:tc>
          <w:tcPr>
            <w:tcW w:w="1687" w:type="dxa"/>
            <w:tcBorders/>
            <w:shd w:fill="CCEEFF" w:val="clear"/>
            <w:tcMar>
              <w:bottom w:w="0" w:type="dxa"/>
            </w:tcMar>
            <w:vAlign w:val="center"/>
          </w:tcPr>
          <w:p>
            <w:pPr>
              <w:pStyle w:val="TableContents"/>
              <w:bidi w:val="0"/>
              <w:spacing w:before="0" w:after="283"/>
              <w:jc w:val="center"/>
              <w:rPr/>
            </w:pPr>
            <w:r>
              <w:rPr/>
              <w:t>3,138,456</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amendment to the Equity Plan to adopt an evergreen provision providing for an automatic annual increase in the shares of Common Stock available for issuance under the Equity Plan was not approved based upon the following votes:</w:t>
            </w:r>
          </w:p>
        </w:tc>
      </w:tr>
    </w:tbl>
    <w:p>
      <w:pPr>
        <w:pStyle w:val="TextBody"/>
        <w:bidi w:val="0"/>
        <w:spacing w:before="0" w:after="0"/>
        <w:ind w:left="0" w:right="0" w:hanging="0"/>
        <w:jc w:val="center"/>
        <w:rPr>
          <w:caps w:val="false"/>
          <w:smallCaps w:val="false"/>
        </w:rPr>
      </w:pPr>
      <w:r>
        <w:rPr>
          <w:caps w:val="false"/>
          <w:smallCaps w:val="false"/>
        </w:rPr>
        <w:t> </w:t>
      </w:r>
    </w:p>
    <w:tbl>
      <w:tblPr>
        <w:tblW w:w="5792" w:type="dxa"/>
        <w:jc w:val="left"/>
        <w:tblInd w:w="0" w:type="dxa"/>
        <w:tblLayout w:type="fixed"/>
        <w:tblCellMar>
          <w:top w:w="0" w:type="dxa"/>
          <w:left w:w="0" w:type="dxa"/>
          <w:bottom w:w="28" w:type="dxa"/>
          <w:right w:w="0" w:type="dxa"/>
        </w:tblCellMar>
      </w:tblPr>
      <w:tblGrid>
        <w:gridCol w:w="102"/>
        <w:gridCol w:w="1342"/>
        <w:gridCol w:w="60"/>
        <w:gridCol w:w="60"/>
        <w:gridCol w:w="79"/>
        <w:gridCol w:w="1290"/>
        <w:gridCol w:w="60"/>
        <w:gridCol w:w="60"/>
        <w:gridCol w:w="61"/>
        <w:gridCol w:w="694"/>
        <w:gridCol w:w="60"/>
        <w:gridCol w:w="60"/>
        <w:gridCol w:w="102"/>
        <w:gridCol w:w="1687"/>
        <w:gridCol w:w="75"/>
      </w:tblGrid>
      <w:tr>
        <w:trPr/>
        <w:tc>
          <w:tcPr>
            <w:tcW w:w="1444" w:type="dxa"/>
            <w:gridSpan w:val="2"/>
            <w:tcBorders>
              <w:bottom w:val="single" w:sz="12" w:space="0" w:color="000000"/>
            </w:tcBorders>
            <w:vAlign w:val="center"/>
          </w:tcPr>
          <w:p>
            <w:pPr>
              <w:pStyle w:val="TableContents"/>
              <w:bidi w:val="0"/>
              <w:spacing w:before="0" w:after="283"/>
              <w:jc w:val="center"/>
              <w:rPr/>
            </w:pPr>
            <w:r>
              <w:rPr/>
              <w:t>Votes in Favor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9" w:type="dxa"/>
            <w:gridSpan w:val="2"/>
            <w:tcBorders>
              <w:bottom w:val="single" w:sz="12" w:space="0" w:color="000000"/>
            </w:tcBorders>
            <w:vAlign w:val="center"/>
          </w:tcPr>
          <w:p>
            <w:pPr>
              <w:pStyle w:val="TableContents"/>
              <w:bidi w:val="0"/>
              <w:spacing w:before="0" w:after="283"/>
              <w:jc w:val="center"/>
              <w:rPr/>
            </w:pPr>
            <w:r>
              <w:rPr/>
              <w:t>Votes 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12" w:space="0" w:color="000000"/>
            </w:tcBorders>
            <w:vAlign w:val="center"/>
          </w:tcPr>
          <w:p>
            <w:pPr>
              <w:pStyle w:val="TableContents"/>
              <w:bidi w:val="0"/>
              <w:spacing w:before="0" w:after="283"/>
              <w:jc w:val="center"/>
              <w:rPr/>
            </w:pPr>
            <w:r>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89" w:type="dxa"/>
            <w:gridSpan w:val="2"/>
            <w:tcBorders>
              <w:bottom w:val="single" w:sz="12" w:space="0" w:color="000000"/>
            </w:tcBorders>
            <w:vAlign w:val="center"/>
          </w:tcPr>
          <w:p>
            <w:pPr>
              <w:pStyle w:val="TableContents"/>
              <w:bidi w:val="0"/>
              <w:spacing w:before="0" w:after="283"/>
              <w:jc w:val="center"/>
              <w:rPr/>
            </w:pPr>
            <w:r>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02" w:type="dxa"/>
            <w:tcBorders/>
            <w:shd w:fill="CCEEFF" w:val="clear"/>
            <w:tcMar>
              <w:bottom w:w="0" w:type="dxa"/>
            </w:tcMar>
            <w:vAlign w:val="center"/>
          </w:tcPr>
          <w:p>
            <w:pPr>
              <w:pStyle w:val="TableContents"/>
              <w:bidi w:val="0"/>
              <w:spacing w:before="0" w:after="283"/>
              <w:jc w:val="center"/>
              <w:rPr/>
            </w:pPr>
            <w:r>
              <w:rPr/>
              <w:t> </w:t>
            </w:r>
          </w:p>
        </w:tc>
        <w:tc>
          <w:tcPr>
            <w:tcW w:w="1342" w:type="dxa"/>
            <w:tcBorders/>
            <w:shd w:fill="CCEEFF" w:val="clear"/>
            <w:tcMar>
              <w:bottom w:w="0" w:type="dxa"/>
            </w:tcMar>
            <w:vAlign w:val="center"/>
          </w:tcPr>
          <w:p>
            <w:pPr>
              <w:pStyle w:val="TableContents"/>
              <w:bidi w:val="0"/>
              <w:spacing w:before="0" w:after="283"/>
              <w:jc w:val="center"/>
              <w:rPr/>
            </w:pPr>
            <w:r>
              <w:rPr/>
              <w:t>5,627,324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1290" w:type="dxa"/>
            <w:tcBorders/>
            <w:shd w:fill="CCEEFF" w:val="clear"/>
            <w:tcMar>
              <w:bottom w:w="0" w:type="dxa"/>
            </w:tcMar>
            <w:vAlign w:val="center"/>
          </w:tcPr>
          <w:p>
            <w:pPr>
              <w:pStyle w:val="TableContents"/>
              <w:bidi w:val="0"/>
              <w:spacing w:before="0" w:after="283"/>
              <w:jc w:val="center"/>
              <w:rPr/>
            </w:pPr>
            <w:r>
              <w:rPr/>
              <w:t>7,001,699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24,773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2" w:type="dxa"/>
            <w:tcBorders/>
            <w:shd w:fill="CCEEFF" w:val="clear"/>
            <w:tcMar>
              <w:bottom w:w="0" w:type="dxa"/>
            </w:tcMar>
            <w:vAlign w:val="center"/>
          </w:tcPr>
          <w:p>
            <w:pPr>
              <w:pStyle w:val="TableContents"/>
              <w:bidi w:val="0"/>
              <w:spacing w:before="0" w:after="283"/>
              <w:jc w:val="center"/>
              <w:rPr/>
            </w:pPr>
            <w:r>
              <w:rPr/>
              <w:t> </w:t>
            </w:r>
          </w:p>
        </w:tc>
        <w:tc>
          <w:tcPr>
            <w:tcW w:w="1687" w:type="dxa"/>
            <w:tcBorders/>
            <w:shd w:fill="CCEEFF" w:val="clear"/>
            <w:tcMar>
              <w:bottom w:w="0" w:type="dxa"/>
            </w:tcMar>
            <w:vAlign w:val="center"/>
          </w:tcPr>
          <w:p>
            <w:pPr>
              <w:pStyle w:val="TableContents"/>
              <w:bidi w:val="0"/>
              <w:spacing w:before="0" w:after="283"/>
              <w:jc w:val="center"/>
              <w:rPr/>
            </w:pPr>
            <w:r>
              <w:rPr/>
              <w:t>3,138,456</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5.</w:t>
            </w:r>
          </w:p>
        </w:tc>
        <w:tc>
          <w:tcPr>
            <w:tcW w:w="9988" w:type="dxa"/>
            <w:tcBorders/>
            <w:vAlign w:val="center"/>
          </w:tcPr>
          <w:p>
            <w:pPr>
              <w:pStyle w:val="TableContents"/>
              <w:bidi w:val="0"/>
              <w:spacing w:before="0" w:after="283"/>
              <w:jc w:val="left"/>
              <w:rPr/>
            </w:pPr>
            <w:r>
              <w:rPr/>
              <w:t>Grant Thornton LLP was ratified as the Company’s independent registered public accounting firm for the 2026 fiscal year based upon the following votes:</w:t>
            </w:r>
          </w:p>
        </w:tc>
      </w:tr>
    </w:tbl>
    <w:p>
      <w:pPr>
        <w:pStyle w:val="TextBody"/>
        <w:bidi w:val="0"/>
        <w:spacing w:before="0" w:after="0"/>
        <w:ind w:left="0" w:right="0" w:hanging="0"/>
        <w:jc w:val="center"/>
        <w:rPr>
          <w:caps w:val="false"/>
          <w:smallCaps w:val="false"/>
        </w:rPr>
      </w:pPr>
      <w:r>
        <w:rPr>
          <w:caps w:val="false"/>
          <w:smallCaps w:val="false"/>
        </w:rPr>
        <w:t> </w:t>
      </w:r>
    </w:p>
    <w:tbl>
      <w:tblPr>
        <w:tblW w:w="3883" w:type="dxa"/>
        <w:jc w:val="left"/>
        <w:tblInd w:w="0" w:type="dxa"/>
        <w:tblLayout w:type="fixed"/>
        <w:tblCellMar>
          <w:top w:w="0" w:type="dxa"/>
          <w:left w:w="0" w:type="dxa"/>
          <w:bottom w:w="28" w:type="dxa"/>
          <w:right w:w="0" w:type="dxa"/>
        </w:tblCellMar>
      </w:tblPr>
      <w:tblGrid>
        <w:gridCol w:w="92"/>
        <w:gridCol w:w="1352"/>
        <w:gridCol w:w="60"/>
        <w:gridCol w:w="60"/>
        <w:gridCol w:w="110"/>
        <w:gridCol w:w="1259"/>
        <w:gridCol w:w="60"/>
        <w:gridCol w:w="60"/>
        <w:gridCol w:w="61"/>
        <w:gridCol w:w="694"/>
        <w:gridCol w:w="75"/>
      </w:tblGrid>
      <w:tr>
        <w:trPr/>
        <w:tc>
          <w:tcPr>
            <w:tcW w:w="1444" w:type="dxa"/>
            <w:gridSpan w:val="2"/>
            <w:tcBorders>
              <w:bottom w:val="single" w:sz="12" w:space="0" w:color="000000"/>
            </w:tcBorders>
            <w:vAlign w:val="center"/>
          </w:tcPr>
          <w:p>
            <w:pPr>
              <w:pStyle w:val="TableContents"/>
              <w:bidi w:val="0"/>
              <w:spacing w:before="0" w:after="283"/>
              <w:jc w:val="center"/>
              <w:rPr/>
            </w:pPr>
            <w:r>
              <w:rPr/>
              <w:t>Votes in Favor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9" w:type="dxa"/>
            <w:gridSpan w:val="2"/>
            <w:tcBorders>
              <w:bottom w:val="single" w:sz="12" w:space="0" w:color="000000"/>
            </w:tcBorders>
            <w:vAlign w:val="center"/>
          </w:tcPr>
          <w:p>
            <w:pPr>
              <w:pStyle w:val="TableContents"/>
              <w:bidi w:val="0"/>
              <w:spacing w:before="0" w:after="283"/>
              <w:jc w:val="center"/>
              <w:rPr/>
            </w:pPr>
            <w:r>
              <w:rPr/>
              <w:t>Votes 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55" w:type="dxa"/>
            <w:gridSpan w:val="2"/>
            <w:tcBorders>
              <w:bottom w:val="single" w:sz="12" w:space="0" w:color="000000"/>
            </w:tcBorders>
            <w:vAlign w:val="center"/>
          </w:tcPr>
          <w:p>
            <w:pPr>
              <w:pStyle w:val="TableContents"/>
              <w:bidi w:val="0"/>
              <w:spacing w:before="0" w:after="283"/>
              <w:jc w:val="center"/>
              <w:rPr/>
            </w:pPr>
            <w:r>
              <w:rPr/>
              <w:t>Abstain</w:t>
            </w:r>
          </w:p>
        </w:tc>
        <w:tc>
          <w:tcPr>
            <w:tcW w:w="75" w:type="dxa"/>
            <w:tcBorders/>
            <w:tcMar>
              <w:bottom w:w="0" w:type="dxa"/>
            </w:tcMar>
            <w:vAlign w:val="center"/>
          </w:tcPr>
          <w:p>
            <w:pPr>
              <w:pStyle w:val="TableContents"/>
              <w:bidi w:val="0"/>
              <w:spacing w:before="0" w:after="283"/>
              <w:jc w:val="center"/>
              <w:rPr/>
            </w:pPr>
            <w:r>
              <w:rPr/>
              <w:t> </w:t>
            </w:r>
          </w:p>
        </w:tc>
      </w:tr>
      <w:tr>
        <w:trPr/>
        <w:tc>
          <w:tcPr>
            <w:tcW w:w="92" w:type="dxa"/>
            <w:tcBorders/>
            <w:shd w:fill="CCEEFF" w:val="clear"/>
            <w:tcMar>
              <w:bottom w:w="0" w:type="dxa"/>
            </w:tcMar>
            <w:vAlign w:val="center"/>
          </w:tcPr>
          <w:p>
            <w:pPr>
              <w:pStyle w:val="TableContents"/>
              <w:bidi w:val="0"/>
              <w:spacing w:before="0" w:after="283"/>
              <w:jc w:val="center"/>
              <w:rPr/>
            </w:pPr>
            <w:r>
              <w:rPr/>
              <w:t> </w:t>
            </w:r>
          </w:p>
        </w:tc>
        <w:tc>
          <w:tcPr>
            <w:tcW w:w="1352" w:type="dxa"/>
            <w:tcBorders/>
            <w:shd w:fill="CCEEFF" w:val="clear"/>
            <w:tcMar>
              <w:bottom w:w="0" w:type="dxa"/>
            </w:tcMar>
            <w:vAlign w:val="center"/>
          </w:tcPr>
          <w:p>
            <w:pPr>
              <w:pStyle w:val="TableContents"/>
              <w:bidi w:val="0"/>
              <w:spacing w:before="0" w:after="283"/>
              <w:jc w:val="center"/>
              <w:rPr/>
            </w:pPr>
            <w:r>
              <w:rPr/>
              <w:t>15,750,329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259" w:type="dxa"/>
            <w:tcBorders/>
            <w:shd w:fill="CCEEFF" w:val="clear"/>
            <w:tcMar>
              <w:bottom w:w="0" w:type="dxa"/>
            </w:tcMar>
            <w:vAlign w:val="center"/>
          </w:tcPr>
          <w:p>
            <w:pPr>
              <w:pStyle w:val="TableContents"/>
              <w:bidi w:val="0"/>
              <w:spacing w:before="0" w:after="283"/>
              <w:jc w:val="center"/>
              <w:rPr/>
            </w:pPr>
            <w:r>
              <w:rPr/>
              <w:t>27,585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1" w:type="dxa"/>
            <w:tcBorders/>
            <w:shd w:fill="CCEEFF" w:val="clear"/>
            <w:tcMar>
              <w:bottom w:w="0" w:type="dxa"/>
            </w:tcMar>
            <w:vAlign w:val="center"/>
          </w:tcPr>
          <w:p>
            <w:pPr>
              <w:pStyle w:val="TableContents"/>
              <w:bidi w:val="0"/>
              <w:spacing w:before="0" w:after="283"/>
              <w:jc w:val="center"/>
              <w:rPr/>
            </w:pPr>
            <w:r>
              <w:rPr/>
              <w:t> </w:t>
            </w:r>
          </w:p>
        </w:tc>
        <w:tc>
          <w:tcPr>
            <w:tcW w:w="694" w:type="dxa"/>
            <w:tcBorders/>
            <w:shd w:fill="CCEEFF" w:val="clear"/>
            <w:tcMar>
              <w:bottom w:w="0" w:type="dxa"/>
            </w:tcMar>
            <w:vAlign w:val="center"/>
          </w:tcPr>
          <w:p>
            <w:pPr>
              <w:pStyle w:val="TableContents"/>
              <w:bidi w:val="0"/>
              <w:spacing w:before="0" w:after="283"/>
              <w:jc w:val="center"/>
              <w:rPr/>
            </w:pPr>
            <w:r>
              <w:rPr/>
              <w:t>14,338</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Financial Statements and Exhibits</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456501ex10-1.htm">
              <w:r>
                <w:rPr>
                  <w:rStyle w:val="InternetLink"/>
                  <w:sz w:val="20"/>
                </w:rPr>
                <w:t>Amendment No. 2 to the OptimizeRx 2021 Equity Incentive Plan</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1655"/>
        <w:gridCol w:w="365"/>
        <w:gridCol w:w="590"/>
        <w:gridCol w:w="3050"/>
      </w:tblGrid>
      <w:tr>
        <w:trPr/>
        <w:tc>
          <w:tcPr>
            <w:tcW w:w="1655"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sz w:val="20"/>
              </w:rPr>
            </w:pPr>
            <w:r>
              <w:rPr>
                <w:sz w:val="20"/>
              </w:rPr>
              <w:t>OPTIMIZERX CORPORATION</w:t>
            </w:r>
          </w:p>
        </w:tc>
      </w:tr>
      <w:tr>
        <w:trPr/>
        <w:tc>
          <w:tcPr>
            <w:tcW w:w="1655" w:type="dxa"/>
            <w:tcBorders/>
            <w:vAlign w:val="center"/>
          </w:tcPr>
          <w:p>
            <w:pPr>
              <w:pStyle w:val="TableContents"/>
              <w:bidi w:val="0"/>
              <w:spacing w:before="0" w:after="283"/>
              <w:jc w:val="left"/>
              <w:rPr/>
            </w:pPr>
            <w:r>
              <w:rPr/>
              <w:t> </w:t>
            </w:r>
          </w:p>
        </w:tc>
        <w:tc>
          <w:tcPr>
            <w:tcW w:w="4005" w:type="dxa"/>
            <w:gridSpan w:val="3"/>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June 12, 2026</w:t>
            </w:r>
          </w:p>
        </w:tc>
        <w:tc>
          <w:tcPr>
            <w:tcW w:w="365" w:type="dxa"/>
            <w:tcBorders/>
            <w:vAlign w:val="center"/>
          </w:tcPr>
          <w:p>
            <w:pPr>
              <w:pStyle w:val="TableContents"/>
              <w:bidi w:val="0"/>
              <w:spacing w:before="0" w:after="283"/>
              <w:jc w:val="left"/>
              <w:rPr>
                <w:sz w:val="20"/>
              </w:rPr>
            </w:pPr>
            <w:r>
              <w:rPr>
                <w:sz w:val="20"/>
              </w:rPr>
              <w:t xml:space="preserve">By: </w:t>
            </w:r>
          </w:p>
        </w:tc>
        <w:tc>
          <w:tcPr>
            <w:tcW w:w="364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Marion Odence-Ford</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3050" w:type="dxa"/>
            <w:tcBorders/>
            <w:vAlign w:val="center"/>
          </w:tcPr>
          <w:p>
            <w:pPr>
              <w:pStyle w:val="TableContents"/>
              <w:bidi w:val="0"/>
              <w:spacing w:before="0" w:after="283"/>
              <w:jc w:val="left"/>
              <w:rPr>
                <w:sz w:val="20"/>
              </w:rPr>
            </w:pPr>
            <w:r>
              <w:rPr>
                <w:sz w:val="20"/>
              </w:rPr>
              <w:t>Marion Odence-Ford</w:t>
            </w:r>
          </w:p>
        </w:tc>
      </w:tr>
      <w:tr>
        <w:trPr/>
        <w:tc>
          <w:tcPr>
            <w:tcW w:w="16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50" w:type="dxa"/>
            <w:tcBorders/>
            <w:vAlign w:val="center"/>
          </w:tcPr>
          <w:p>
            <w:pPr>
              <w:pStyle w:val="TableContents"/>
              <w:bidi w:val="0"/>
              <w:spacing w:before="0" w:after="283"/>
              <w:jc w:val="left"/>
              <w:rPr>
                <w:sz w:val="20"/>
              </w:rPr>
            </w:pPr>
            <w:r>
              <w:rPr>
                <w:sz w:val="20"/>
              </w:rPr>
              <w:t>Chief Legal &amp; Administrative Officer</w:t>
            </w:r>
          </w:p>
        </w:tc>
      </w:tr>
    </w:tbl>
    <w:p>
      <w:pPr>
        <w:pStyle w:val="TextBody"/>
        <w:bidi w:val="0"/>
        <w:spacing w:before="0" w:after="0"/>
        <w:ind w:left="4680" w:right="0" w:firstLine="360"/>
        <w:jc w:val="left"/>
        <w:rPr>
          <w:caps w:val="false"/>
          <w:smallCaps w:val="false"/>
        </w:rPr>
      </w:pPr>
      <w:r>
        <w:rPr>
          <w:caps w:val="false"/>
          <w:smallCaps w:val="false"/>
        </w:rPr>
        <w:t> </w:t>
      </w:r>
    </w:p>
    <w:p>
      <w:pPr>
        <w:pStyle w:val="TextBody"/>
        <w:bidi w:val="0"/>
        <w:spacing w:before="0" w:after="0"/>
        <w:ind w:left="468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4680" w:right="0" w:firstLine="36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456501ex10-1.htm"/>
      <w:bookmarkStart w:id="24" w:name="ksea029456501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450" w:right="45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 TO</w:t>
      </w:r>
    </w:p>
    <w:p>
      <w:pPr>
        <w:pStyle w:val="TextBody"/>
        <w:bidi w:val="0"/>
        <w:spacing w:before="0" w:after="0"/>
        <w:ind w:left="450" w:right="45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OPTIMIZERX CORPORATION</w:t>
      </w:r>
    </w:p>
    <w:p>
      <w:pPr>
        <w:pStyle w:val="TextBody"/>
        <w:bidi w:val="0"/>
        <w:spacing w:before="0" w:after="0"/>
        <w:ind w:left="450" w:right="45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ind w:left="450" w:right="450" w:hanging="0"/>
        <w:jc w:val="center"/>
        <w:rPr>
          <w:caps w:val="false"/>
          <w:smallCaps w:val="false"/>
        </w:rPr>
      </w:pPr>
      <w:r>
        <w:rPr>
          <w:caps w:val="false"/>
          <w:smallCaps w:val="false"/>
        </w:rPr>
        <w:t> </w:t>
      </w:r>
    </w:p>
    <w:p>
      <w:pPr>
        <w:pStyle w:val="TextBody"/>
        <w:bidi w:val="0"/>
        <w:spacing w:before="0" w:after="0"/>
        <w:ind w:left="450" w:right="45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June 9, 2026</w:t>
      </w:r>
    </w:p>
    <w:p>
      <w:pPr>
        <w:pStyle w:val="TextBody"/>
        <w:bidi w:val="0"/>
        <w:spacing w:before="0" w:after="0"/>
        <w:ind w:left="450" w:right="45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(the “Board”) of OptimizeRx Corporation (the “Company”) established the OptimizeRx Corporation 2021 Equity Incentive Plan (the “Plan”); and</w:t>
      </w:r>
    </w:p>
    <w:p>
      <w:pPr>
        <w:pStyle w:val="TextBody"/>
        <w:bidi w:val="0"/>
        <w:spacing w:before="0" w:after="0"/>
        <w:ind w:left="450" w:right="45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desires to amend the Plan to increase the maximum number of shares of the Company’s common stock, par value $0.001 per share (“Common Stock”) available for grants of Awards thereunder by 1,000,000 shares to 5,450,000 shares, as of the date on which shareholders of the Company approve this amendment; and</w:t>
      </w:r>
    </w:p>
    <w:p>
      <w:pPr>
        <w:pStyle w:val="TextBody"/>
        <w:bidi w:val="0"/>
        <w:spacing w:before="0" w:after="0"/>
        <w:ind w:left="450" w:right="45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12(c) of the Plan authorizes the Board to amend the Plan, subject to shareholder approval to the extent that such approval is desired or required by applicable law;</w:t>
      </w:r>
    </w:p>
    <w:p>
      <w:pPr>
        <w:pStyle w:val="TextBody"/>
        <w:bidi w:val="0"/>
        <w:spacing w:before="0" w:after="0"/>
        <w:ind w:left="450" w:right="45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effective the date hereof, the Plan is hereby amended as follows:</w:t>
      </w:r>
    </w:p>
    <w:p>
      <w:pPr>
        <w:pStyle w:val="TextBody"/>
        <w:bidi w:val="0"/>
        <w:spacing w:before="0" w:after="0"/>
        <w:ind w:left="450" w:right="45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approval of the Company’s shareholders, Section 3(a) of the Plan is hereby amended and restated in its entirety, to read as follows:</w:t>
      </w:r>
    </w:p>
    <w:p>
      <w:pPr>
        <w:pStyle w:val="TextBody"/>
        <w:bidi w:val="0"/>
        <w:spacing w:before="0" w:after="0"/>
        <w:ind w:left="1230" w:right="450" w:hanging="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Plan Maximums</w:t>
      </w:r>
      <w:r>
        <w:rPr>
          <w:rFonts w:ascii="Times New Roman;Times;Serif" w:hAnsi="Times New Roman;Times;Serif"/>
          <w:b w:val="false"/>
          <w:i w:val="false"/>
          <w:caps w:val="false"/>
          <w:smallCaps w:val="false"/>
          <w:sz w:val="20"/>
        </w:rPr>
        <w:t>. Subject to adjustment as described in Section 3(e) below, the maximum aggregate number of shares of Common Stock that may be issued or transferred under the Plan with respect to Awards shall be 5,450,000 shares of Common Stock. The aggregate number of shares of Common Stock that may be issued or transferred under the Plan pursuant to Incentive Stock Options on and after the Effective Date shall not exceed 5,450,000. Shares issued or the Plan may be authorized but unissued shares of Common Stock or reacquired shares of Common Stock, including shares purchased by the Company on the open market for purposes of the Plan.</w:t>
      </w:r>
    </w:p>
    <w:p>
      <w:pPr>
        <w:pStyle w:val="TextBody"/>
        <w:bidi w:val="0"/>
        <w:spacing w:before="0" w:after="0"/>
        <w:ind w:left="720" w:right="45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Amendment as evidence of its adoption by the Board on the date set forth above.</w:t>
      </w:r>
    </w:p>
    <w:p>
      <w:pPr>
        <w:pStyle w:val="TextBody"/>
        <w:bidi w:val="0"/>
        <w:spacing w:before="0" w:after="0"/>
        <w:ind w:left="450" w:right="450" w:hanging="0"/>
        <w:jc w:val="both"/>
        <w:rPr>
          <w:caps w:val="false"/>
          <w:smallCaps w:val="false"/>
        </w:rPr>
      </w:pPr>
      <w:r>
        <w:rPr>
          <w:caps w:val="false"/>
          <w:smallCaps w:val="false"/>
        </w:rPr>
        <w:t> </w:t>
      </w:r>
    </w:p>
    <w:tbl>
      <w:tblPr>
        <w:tblW w:w="2930" w:type="dxa"/>
        <w:jc w:val="left"/>
        <w:tblInd w:w="0" w:type="dxa"/>
        <w:tblLayout w:type="fixed"/>
        <w:tblCellMar>
          <w:top w:w="0" w:type="dxa"/>
          <w:left w:w="0" w:type="dxa"/>
          <w:bottom w:w="0" w:type="dxa"/>
          <w:right w:w="0" w:type="dxa"/>
        </w:tblCellMar>
      </w:tblPr>
      <w:tblGrid>
        <w:gridCol w:w="2855"/>
        <w:gridCol w:w="75"/>
      </w:tblGrid>
      <w:tr>
        <w:trPr/>
        <w:tc>
          <w:tcPr>
            <w:tcW w:w="2855" w:type="dxa"/>
            <w:tcBorders/>
            <w:vAlign w:val="center"/>
          </w:tcPr>
          <w:p>
            <w:pPr>
              <w:pStyle w:val="TableContents"/>
              <w:bidi w:val="0"/>
              <w:spacing w:before="0" w:after="283"/>
              <w:jc w:val="left"/>
              <w:rPr>
                <w:sz w:val="20"/>
              </w:rPr>
            </w:pPr>
            <w:r>
              <w:rPr>
                <w:sz w:val="20"/>
              </w:rPr>
              <w:t>OPTIMIZERX CORPORATION</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Stephen Silvestro</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20"/>
              </w:rPr>
            </w:pPr>
            <w:r>
              <w:rPr>
                <w:sz w:val="20"/>
              </w:rPr>
              <w:t>Stephen Silvestro</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20"/>
              </w:rPr>
            </w:pPr>
            <w:r>
              <w:rPr>
                <w:sz w:val="20"/>
              </w:rPr>
              <w:t>Chief Executive Officer &amp;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1304</Words>
  <Characters>7064</Characters>
  <CharactersWithSpaces>8497</CharactersWithSpaces>
  <Paragraphs>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