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December 11,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040" w:type="dxa"/>
            <w:vAlign w:val="bottom"/>
          </w:tcPr>
          <w:p>
            <w:pPr>
              <w:spacing w:after="0"/>
              <w:rPr>
                <w:sz w:val="17"/>
                <w:szCs w:val="17"/>
                <w:color w:val="auto"/>
              </w:rPr>
            </w:pPr>
          </w:p>
        </w:tc>
        <w:tc>
          <w:tcPr>
            <w:tcW w:w="3320" w:type="dxa"/>
            <w:vAlign w:val="bottom"/>
            <w:gridSpan w:val="4"/>
          </w:tcPr>
          <w:p>
            <w:pPr>
              <w:jc w:val="right"/>
              <w:ind w:right="1200"/>
              <w:spacing w:after="0"/>
              <w:rPr>
                <w:sz w:val="20"/>
                <w:szCs w:val="20"/>
                <w:color w:val="auto"/>
              </w:rPr>
            </w:pPr>
            <w:r>
              <w:rPr>
                <w:rFonts w:ascii="Arial" w:cs="Arial" w:eastAsia="Arial" w:hAnsi="Arial"/>
                <w:sz w:val="18"/>
                <w:szCs w:val="18"/>
                <w:color w:val="auto"/>
              </w:rPr>
              <w:t>000-53605</w:t>
            </w:r>
          </w:p>
        </w:tc>
        <w:tc>
          <w:tcPr>
            <w:tcW w:w="3200" w:type="dxa"/>
            <w:vAlign w:val="bottom"/>
            <w:gridSpan w:val="5"/>
          </w:tcPr>
          <w:p>
            <w:pPr>
              <w:ind w:left="14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900" w:type="dxa"/>
            <w:vAlign w:val="bottom"/>
            <w:gridSpan w:val="3"/>
          </w:tcPr>
          <w:p>
            <w:pPr>
              <w:jc w:val="center"/>
              <w:ind w:right="650"/>
              <w:spacing w:after="0"/>
              <w:rPr>
                <w:sz w:val="20"/>
                <w:szCs w:val="20"/>
                <w:color w:val="auto"/>
              </w:rPr>
            </w:pPr>
            <w:r>
              <w:rPr>
                <w:rFonts w:ascii="Arial" w:cs="Arial" w:eastAsia="Arial" w:hAnsi="Arial"/>
                <w:sz w:val="18"/>
                <w:szCs w:val="18"/>
                <w:color w:val="auto"/>
                <w:w w:val="92"/>
              </w:rPr>
              <w:t>(State or other jurisdiction of incorporation)</w:t>
            </w:r>
          </w:p>
        </w:tc>
        <w:tc>
          <w:tcPr>
            <w:tcW w:w="3320" w:type="dxa"/>
            <w:vAlign w:val="bottom"/>
            <w:gridSpan w:val="4"/>
          </w:tcPr>
          <w:p>
            <w:pPr>
              <w:jc w:val="center"/>
              <w:ind w:left="5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gridSpan w:val="5"/>
          </w:tcPr>
          <w:p>
            <w:pPr>
              <w:ind w:left="58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920" w:type="dxa"/>
            <w:vAlign w:val="bottom"/>
            <w:gridSpan w:val="6"/>
          </w:tcPr>
          <w:p>
            <w:pPr>
              <w:jc w:val="center"/>
              <w:ind w:right="1820"/>
              <w:spacing w:after="0"/>
              <w:rPr>
                <w:sz w:val="20"/>
                <w:szCs w:val="20"/>
                <w:color w:val="auto"/>
              </w:rPr>
            </w:pPr>
            <w:r>
              <w:rPr>
                <w:rFonts w:ascii="Arial" w:cs="Arial" w:eastAsia="Arial" w:hAnsi="Arial"/>
                <w:sz w:val="18"/>
                <w:szCs w:val="18"/>
                <w:color w:val="auto"/>
                <w:w w:val="90"/>
              </w:rPr>
              <w:t>400 Water Street, Suite 200, Rochester, MI</w:t>
            </w:r>
          </w:p>
        </w:tc>
        <w:tc>
          <w:tcPr>
            <w:tcW w:w="2320" w:type="dxa"/>
            <w:vAlign w:val="bottom"/>
            <w:gridSpan w:val="4"/>
          </w:tcPr>
          <w:p>
            <w:pPr>
              <w:jc w:val="right"/>
              <w:ind w:right="260"/>
              <w:spacing w:after="0"/>
              <w:rPr>
                <w:sz w:val="20"/>
                <w:szCs w:val="20"/>
                <w:color w:val="auto"/>
              </w:rPr>
            </w:pPr>
            <w:r>
              <w:rPr>
                <w:rFonts w:ascii="Arial" w:cs="Arial" w:eastAsia="Arial" w:hAnsi="Arial"/>
                <w:sz w:val="18"/>
                <w:szCs w:val="18"/>
                <w:color w:val="auto"/>
              </w:rPr>
              <w:t>48307</w:t>
            </w:r>
          </w:p>
        </w:tc>
        <w:tc>
          <w:tcPr>
            <w:tcW w:w="88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gridSpan w:val="3"/>
          </w:tcPr>
          <w:p>
            <w:pPr>
              <w:spacing w:after="0"/>
              <w:rPr>
                <w:sz w:val="20"/>
                <w:szCs w:val="20"/>
                <w:color w:val="auto"/>
              </w:rPr>
            </w:pPr>
          </w:p>
        </w:tc>
        <w:tc>
          <w:tcPr>
            <w:tcW w:w="3200" w:type="dxa"/>
            <w:vAlign w:val="bottom"/>
            <w:gridSpan w:val="5"/>
          </w:tcPr>
          <w:p>
            <w:pPr>
              <w:ind w:left="1440"/>
              <w:spacing w:after="0"/>
              <w:rPr>
                <w:sz w:val="20"/>
                <w:szCs w:val="20"/>
                <w:color w:val="auto"/>
              </w:rPr>
            </w:pPr>
            <w:r>
              <w:rPr>
                <w:rFonts w:ascii="Arial" w:cs="Arial" w:eastAsia="Arial" w:hAnsi="Arial"/>
                <w:sz w:val="18"/>
                <w:szCs w:val="18"/>
                <w:color w:val="auto"/>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OptimizeRx Corp. (the “Company”) and Practice Fusion, the largest cloud-based electronic health records (EHR) platform, recently signed an agreement to integrate and automate the Company’s patient savings and support system to enable Practice Fusion prescribers to more efficiently help patients better afford and adhere to their prescribed medications.</w:t>
      </w:r>
    </w:p>
    <w:p>
      <w:pPr>
        <w:spacing w:after="0" w:line="18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Practice Fusion’s EHR is used by a community of more than 112,000 active medical professionals monthly with over 91 million patient records and should have a significant impact on our prescribing reach and sales once live. The Company anticipates that the integration will be completed later 1st quarter.</w:t>
      </w:r>
    </w:p>
    <w:p>
      <w:pPr>
        <w:spacing w:after="0" w:line="12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joint press release is being prepared for early next year to maximize exposure and impact, including to the pharmaceutical industry looking to expand their reach within physicians’ workflow through the Company as an alternative to the barriers and restrictions now commonly in the market that inhibit use of drug samples and printed copay coupons.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Disclosures in this Current Report on Form 8-K, including without limitation, those relating to future financial results guidance, and in the Company’s other public documents and comments contain forward-looking statements within the meaning of the Private Securities Litigation Reform Act of 1995. Those statements provide the Company’s future expectations or forecasts and can be identified by our use of words such as “anticipate,” “estimate,” “expect,” “project,” “intend,” “plan,” “believe,” “outlook,” “target,” “predict,” “may,” “will,” “would,” “could,” “should,” “seek,” and other words or phrases of similar meaning in connection with any discussion of future operating or financial performance. Forward-looking statements, by their nature, address matters that are uncertain and involve risks because they relate to events and depend on circumstances that may or may not occur in the future. As a result, the Company’s actual results may differ materially from its expected results and from those expressed in its forward-looking statements. Forward-looking statements speak only as of the date they are made. The Company undertakes no obligation to update any forward-looking statements beyond what is required under applicable securities law.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Doug Baker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December 11, 2014</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2019-12-07T20:26:38Z</dcterms:created>
  <dcterms:modified xsi:type="dcterms:W3CDTF">2019-12-07T20:26:38Z</dcterms:modified>
</cp:coreProperties>
</file>