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43"/>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4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664" w:hanging="664"/>
        <w:spacing w:after="0"/>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0"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40"/>
          <w:szCs w:val="40"/>
          <w:b w:val="1"/>
          <w:bCs w:val="1"/>
          <w:color w:val="auto"/>
        </w:rPr>
        <w:t>OptimizeRx Corporation</w:t>
      </w:r>
    </w:p>
    <w:p>
      <w:pPr>
        <w:spacing w:after="0" w:line="41"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Whetstone Capital Advisors, LLC</w:t>
      </w:r>
    </w:p>
    <w:p>
      <w:pPr>
        <w:spacing w:after="0" w:line="31"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Whetstone Capital, LP</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Digital Economy Fund, LP</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David Atterbury</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Andrew Carlson</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John Fein</w:t>
      </w:r>
    </w:p>
    <w:p>
      <w:pPr>
        <w:spacing w:after="0" w:line="9" w:lineRule="exact"/>
        <w:rPr>
          <w:sz w:val="24"/>
          <w:szCs w:val="24"/>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84" w:hanging="684"/>
        <w:spacing w:after="0"/>
        <w:tabs>
          <w:tab w:leader="none" w:pos="68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4" w:hanging="684"/>
        <w:spacing w:after="0"/>
        <w:tabs>
          <w:tab w:leader="none" w:pos="68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 14a-6(i)(4) and 0-11.</w:t>
      </w:r>
    </w:p>
    <w:p>
      <w:pPr>
        <w:spacing w:after="0" w:line="225" w:lineRule="exact"/>
        <w:rPr>
          <w:rFonts w:ascii="MS PGothic" w:cs="MS PGothic" w:eastAsia="MS PGothic" w:hAnsi="MS PGothic"/>
          <w:sz w:val="18"/>
          <w:szCs w:val="18"/>
          <w:color w:val="auto"/>
        </w:rPr>
      </w:pPr>
    </w:p>
    <w:p>
      <w:pPr>
        <w:ind w:left="1324" w:right="5220" w:hanging="649"/>
        <w:spacing w:after="0" w:line="406"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   </w:t>
      </w:r>
    </w:p>
    <w:p>
      <w:pPr>
        <w:spacing w:after="0" w:line="1" w:lineRule="exact"/>
        <w:rPr>
          <w:rFonts w:ascii="Times New Roman" w:cs="Times New Roman" w:eastAsia="Times New Roman" w:hAnsi="Times New Roman"/>
          <w:sz w:val="18"/>
          <w:szCs w:val="18"/>
          <w:color w:val="auto"/>
        </w:rPr>
      </w:pPr>
    </w:p>
    <w:p>
      <w:pPr>
        <w:ind w:left="1324" w:right="5160" w:hanging="649"/>
        <w:spacing w:after="0" w:line="406"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   </w:t>
      </w:r>
    </w:p>
    <w:p>
      <w:pPr>
        <w:spacing w:after="0" w:line="1" w:lineRule="exact"/>
        <w:rPr>
          <w:rFonts w:ascii="Times New Roman" w:cs="Times New Roman" w:eastAsia="Times New Roman" w:hAnsi="Times New Roman"/>
          <w:sz w:val="18"/>
          <w:szCs w:val="18"/>
          <w:color w:val="auto"/>
        </w:rPr>
      </w:pPr>
    </w:p>
    <w:p>
      <w:pPr>
        <w:ind w:left="1324" w:hanging="649"/>
        <w:spacing w:after="0" w:line="282"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1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6" w:lineRule="exact"/>
        <w:rPr>
          <w:rFonts w:ascii="Times New Roman" w:cs="Times New Roman" w:eastAsia="Times New Roman" w:hAnsi="Times New Roman"/>
          <w:sz w:val="18"/>
          <w:szCs w:val="18"/>
          <w:color w:val="auto"/>
        </w:rPr>
      </w:pPr>
    </w:p>
    <w:p>
      <w:pPr>
        <w:ind w:left="1324" w:right="5840" w:hanging="649"/>
        <w:spacing w:after="0" w:line="406"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   </w:t>
      </w:r>
    </w:p>
    <w:p>
      <w:pPr>
        <w:spacing w:after="0" w:line="1" w:lineRule="exact"/>
        <w:rPr>
          <w:rFonts w:ascii="Times New Roman" w:cs="Times New Roman" w:eastAsia="Times New Roman" w:hAnsi="Times New Roman"/>
          <w:sz w:val="18"/>
          <w:szCs w:val="18"/>
          <w:color w:val="auto"/>
        </w:rPr>
      </w:pPr>
    </w:p>
    <w:p>
      <w:pPr>
        <w:ind w:left="1324" w:right="8500" w:hanging="649"/>
        <w:spacing w:after="0" w:line="508"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   </w:t>
      </w:r>
    </w:p>
    <w:p>
      <w:pPr>
        <w:spacing w:after="0" w:line="41"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4" w:right="20" w:hanging="684"/>
        <w:spacing w:after="0" w:line="282" w:lineRule="auto"/>
        <w:tabs>
          <w:tab w:leader="none" w:pos="68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1324" w:right="7720" w:hanging="649"/>
        <w:spacing w:after="0" w:line="406"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   </w:t>
      </w:r>
    </w:p>
    <w:p>
      <w:pPr>
        <w:spacing w:after="0" w:line="1" w:lineRule="exact"/>
        <w:rPr>
          <w:rFonts w:ascii="Times New Roman" w:cs="Times New Roman" w:eastAsia="Times New Roman" w:hAnsi="Times New Roman"/>
          <w:sz w:val="18"/>
          <w:szCs w:val="18"/>
          <w:color w:val="auto"/>
        </w:rPr>
      </w:pPr>
    </w:p>
    <w:p>
      <w:pPr>
        <w:ind w:left="1324" w:right="6160" w:hanging="649"/>
        <w:spacing w:after="0" w:line="406"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   </w:t>
      </w:r>
    </w:p>
    <w:p>
      <w:pPr>
        <w:spacing w:after="0" w:line="1" w:lineRule="exact"/>
        <w:rPr>
          <w:rFonts w:ascii="Times New Roman" w:cs="Times New Roman" w:eastAsia="Times New Roman" w:hAnsi="Times New Roman"/>
          <w:sz w:val="18"/>
          <w:szCs w:val="18"/>
          <w:color w:val="auto"/>
        </w:rPr>
      </w:pPr>
    </w:p>
    <w:p>
      <w:pPr>
        <w:ind w:left="1324" w:right="8640" w:hanging="649"/>
        <w:spacing w:after="0" w:line="563" w:lineRule="auto"/>
        <w:tabs>
          <w:tab w:leader="none" w:pos="13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840105</wp:posOffset>
            </wp:positionH>
            <wp:positionV relativeFrom="paragraph">
              <wp:posOffset>-4256405</wp:posOffset>
            </wp:positionV>
            <wp:extent cx="6155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-3810635</wp:posOffset>
            </wp:positionV>
            <wp:extent cx="6155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-3227705</wp:posOffset>
            </wp:positionV>
            <wp:extent cx="6155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-2781935</wp:posOffset>
            </wp:positionV>
            <wp:extent cx="6155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-2336165</wp:posOffset>
            </wp:positionV>
            <wp:extent cx="6155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-1067435</wp:posOffset>
            </wp:positionV>
            <wp:extent cx="6155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-621665</wp:posOffset>
            </wp:positionV>
            <wp:extent cx="61550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-175895</wp:posOffset>
            </wp:positionV>
            <wp:extent cx="6155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ectPr>
          <w:pgSz w:w="11900" w:h="16912" w:orient="portrait"/>
          <w:cols w:equalWidth="0" w:num="1">
            <w:col w:w="10864"/>
          </w:cols>
          <w:pgMar w:left="436" w:top="511" w:right="599" w:bottom="0" w:gutter="0" w:footer="0" w:header="0"/>
        </w:sectPr>
      </w:pPr>
    </w:p>
    <w:bookmarkStart w:id="1" w:name="page2"/>
    <w:bookmarkEnd w:id="1"/>
    <w:p>
      <w:pPr>
        <w:ind w:left="649" w:hanging="649"/>
        <w:spacing w:after="0"/>
        <w:tabs>
          <w:tab w:leader="none" w:pos="6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ectPr>
          <w:pgSz w:w="11900" w:h="16838" w:orient="portrait"/>
          <w:cols w:equalWidth="0" w:num="1">
            <w:col w:w="9348"/>
          </w:cols>
          <w:pgMar w:left="1111" w:top="135" w:right="1440" w:bottom="1440" w:gutter="0" w:footer="0" w:header="0"/>
        </w:sectPr>
      </w:pPr>
    </w:p>
    <w:p>
      <w:pPr>
        <w:spacing w:after="0" w:line="264"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104775</wp:posOffset>
            </wp:positionV>
            <wp:extent cx="6155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285115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327660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348"/>
          </w:cols>
          <w:pgMar w:left="1111" w:top="135" w:right="1440" w:bottom="1440" w:gutter="0" w:footer="0" w:header="0"/>
          <w:type w:val="continuous"/>
        </w:sectPr>
      </w:pPr>
    </w:p>
    <w:bookmarkStart w:id="2" w:name="page3"/>
    <w:bookmarkEnd w:id="2"/>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March 10, 2025, Whetstone Capital Advisors, LLC and David Atterbury filed a Schedule 13D/A regarding Whetstone Capital Advisors, LLC’s submission of written notice to OptimizeRx Corporation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xml:space="preserve">”) of its intent to nominate each of Messrs. Andrew Carlson and John Fein for election to the board of the Issuer at the Issuer’s 2025 annual meeting of stockholders, the relevant text of which is filed herewith 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Information regarding the Participants (as defined in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 xml:space="preserve">) in any future solicitation of proxies regarding the Issuer is filed herewith as </w:t>
      </w:r>
      <w:r>
        <w:rPr>
          <w:rFonts w:ascii="Times New Roman" w:cs="Times New Roman" w:eastAsia="Times New Roman" w:hAnsi="Times New Roman"/>
          <w:sz w:val="17"/>
          <w:szCs w:val="17"/>
          <w:u w:val="single" w:color="auto"/>
          <w:color w:val="auto"/>
        </w:rPr>
        <w:t>Exhibit 2</w:t>
      </w:r>
      <w:r>
        <w:rPr>
          <w:rFonts w:ascii="Times New Roman" w:cs="Times New Roman" w:eastAsia="Times New Roman" w:hAnsi="Times New Roman"/>
          <w:sz w:val="17"/>
          <w:szCs w:val="17"/>
          <w:color w:val="auto"/>
        </w:rPr>
        <w:t>.</w:t>
      </w:r>
    </w:p>
    <w:p>
      <w:pPr>
        <w:sectPr>
          <w:pgSz w:w="11900" w:h="16838" w:orient="portrait"/>
          <w:cols w:equalWidth="0" w:num="1">
            <w:col w:w="10760"/>
          </w:cols>
          <w:pgMar w:left="440" w:top="270"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THE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hereby amends and supplements Item 4 of the Schedule 13D by inserting the following:</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6, 2025, WCA provided written notice to the Issuer of its intent to nominate each of Messrs. Andrew Carlson and John Fein for election to the Board at the Issuer’s 2025 annual meeting of stockholders. In connection with such notice, the Reporting Persons have communicated, and expect to continue to communicate, with the Issuer about Board composition and other matters.</w:t>
      </w:r>
    </w:p>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WCA (as defined below), together with the other Participants (as defined below), intends to file a definitive proxy statement and accompanying proxy card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be used to solicit proxies for votes regarding the election of director nominees and other proposals that may come before the 2025 annual meeting of stockholders (including any adjournments or postponements thereof or any special meeting that may be held in lieu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OptimizeRx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PARTICIPANTS STRONGLY ADVISE ALL SHAREHOLDERS OF THE COMPANY TO READ THE PROXY STATEMENT AND OTHER PROXY MATERIALS AS THEY BECOME AVAILABLE BECAUSE THEY WILL CONTAIN IMPORTANT INFORMATION, INCLUDING ADDITIONAL INFORMATION REGARDING THE PARTICIPANTS. SUCH PROXY MATERIALS WILL BE AVAILABLE AT NO CHARGE ON THE SEC’S WEBSITE AT HTTP://WWW.SEC.GOV. IN ADDITION, THE PARTICIPANTS WILL PROVIDE COPIES OF THE PROXY STATEMENT WITHOUT CHARGE, WHEN AVAILABLE, UPON REQUEST.</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Participants in the proxy solicitation are anticipated to be: (1) Whetstone Capital Advisors, LLC, a Kansas limited liability company (“</w:t>
      </w:r>
      <w:r>
        <w:rPr>
          <w:rFonts w:ascii="Times New Roman" w:cs="Times New Roman" w:eastAsia="Times New Roman" w:hAnsi="Times New Roman"/>
          <w:sz w:val="18"/>
          <w:szCs w:val="18"/>
          <w:u w:val="single" w:color="auto"/>
          <w:color w:val="auto"/>
        </w:rPr>
        <w:t>WCA</w:t>
      </w:r>
      <w:r>
        <w:rPr>
          <w:rFonts w:ascii="Times New Roman" w:cs="Times New Roman" w:eastAsia="Times New Roman" w:hAnsi="Times New Roman"/>
          <w:sz w:val="18"/>
          <w:szCs w:val="18"/>
          <w:color w:val="auto"/>
        </w:rPr>
        <w:t>”), (2) David Atterbury (“</w:t>
      </w:r>
      <w:r>
        <w:rPr>
          <w:rFonts w:ascii="Times New Roman" w:cs="Times New Roman" w:eastAsia="Times New Roman" w:hAnsi="Times New Roman"/>
          <w:sz w:val="18"/>
          <w:szCs w:val="18"/>
          <w:u w:val="single" w:color="auto"/>
          <w:color w:val="auto"/>
        </w:rPr>
        <w:t>Mr. Atterbury</w:t>
      </w:r>
      <w:r>
        <w:rPr>
          <w:rFonts w:ascii="Times New Roman" w:cs="Times New Roman" w:eastAsia="Times New Roman" w:hAnsi="Times New Roman"/>
          <w:sz w:val="18"/>
          <w:szCs w:val="18"/>
          <w:color w:val="auto"/>
        </w:rPr>
        <w:t>” and Mr. Atterbury together with WCA, the “</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(3) Whetstone Capital, LP, a Delaware limited partnership (“</w:t>
      </w:r>
      <w:r>
        <w:rPr>
          <w:rFonts w:ascii="Times New Roman" w:cs="Times New Roman" w:eastAsia="Times New Roman" w:hAnsi="Times New Roman"/>
          <w:sz w:val="18"/>
          <w:szCs w:val="18"/>
          <w:u w:val="single" w:color="auto"/>
          <w:color w:val="auto"/>
        </w:rPr>
        <w:t>Whetstone LP Fund</w:t>
      </w:r>
      <w:r>
        <w:rPr>
          <w:rFonts w:ascii="Times New Roman" w:cs="Times New Roman" w:eastAsia="Times New Roman" w:hAnsi="Times New Roman"/>
          <w:sz w:val="18"/>
          <w:szCs w:val="18"/>
          <w:color w:val="auto"/>
        </w:rPr>
        <w:t>”), (4) Whetstone Digital Economy Fund, LP, a Delaware limited partnership (“</w:t>
      </w:r>
      <w:r>
        <w:rPr>
          <w:rFonts w:ascii="Times New Roman" w:cs="Times New Roman" w:eastAsia="Times New Roman" w:hAnsi="Times New Roman"/>
          <w:sz w:val="18"/>
          <w:szCs w:val="18"/>
          <w:u w:val="single" w:color="auto"/>
          <w:color w:val="auto"/>
        </w:rPr>
        <w:t>Digital Economy Fund</w:t>
      </w:r>
      <w:r>
        <w:rPr>
          <w:rFonts w:ascii="Times New Roman" w:cs="Times New Roman" w:eastAsia="Times New Roman" w:hAnsi="Times New Roman"/>
          <w:sz w:val="18"/>
          <w:szCs w:val="18"/>
          <w:color w:val="auto"/>
        </w:rPr>
        <w:t>” and together with Whetstone LP Fund, the “</w:t>
      </w:r>
      <w:r>
        <w:rPr>
          <w:rFonts w:ascii="Times New Roman" w:cs="Times New Roman" w:eastAsia="Times New Roman" w:hAnsi="Times New Roman"/>
          <w:sz w:val="18"/>
          <w:szCs w:val="18"/>
          <w:u w:val="single" w:color="auto"/>
          <w:color w:val="auto"/>
        </w:rPr>
        <w:t>Whetstone Funds</w:t>
      </w:r>
      <w:r>
        <w:rPr>
          <w:rFonts w:ascii="Times New Roman" w:cs="Times New Roman" w:eastAsia="Times New Roman" w:hAnsi="Times New Roman"/>
          <w:sz w:val="18"/>
          <w:szCs w:val="18"/>
          <w:color w:val="auto"/>
        </w:rPr>
        <w:t>”), (5) Andrew Carlson (“</w:t>
      </w:r>
      <w:r>
        <w:rPr>
          <w:rFonts w:ascii="Times New Roman" w:cs="Times New Roman" w:eastAsia="Times New Roman" w:hAnsi="Times New Roman"/>
          <w:sz w:val="18"/>
          <w:szCs w:val="18"/>
          <w:u w:val="single" w:color="auto"/>
          <w:color w:val="auto"/>
        </w:rPr>
        <w:t>Mr. Carlson</w:t>
      </w:r>
      <w:r>
        <w:rPr>
          <w:rFonts w:ascii="Times New Roman" w:cs="Times New Roman" w:eastAsia="Times New Roman" w:hAnsi="Times New Roman"/>
          <w:sz w:val="18"/>
          <w:szCs w:val="18"/>
          <w:color w:val="auto"/>
        </w:rPr>
        <w:t>”), and (6) John Fein (“</w:t>
      </w:r>
      <w:r>
        <w:rPr>
          <w:rFonts w:ascii="Times New Roman" w:cs="Times New Roman" w:eastAsia="Times New Roman" w:hAnsi="Times New Roman"/>
          <w:sz w:val="18"/>
          <w:szCs w:val="18"/>
          <w:u w:val="single" w:color="auto"/>
          <w:color w:val="auto"/>
        </w:rPr>
        <w:t>Mr. Fein</w:t>
      </w:r>
      <w:r>
        <w:rPr>
          <w:rFonts w:ascii="Times New Roman" w:cs="Times New Roman" w:eastAsia="Times New Roman" w:hAnsi="Times New Roman"/>
          <w:sz w:val="18"/>
          <w:szCs w:val="18"/>
          <w:color w:val="auto"/>
        </w:rPr>
        <w:t>” and Mr. Fein together with Mr. Carlson, the Beneficial Owners and the Whetstone Funds,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the date hereof, the Participants beneficially own (within the meaning of Rule 13d-3 under the Securities Exchange Act of 1934, as amended), in the aggregate, 1,508,303 shares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color w:val="auto"/>
        </w:rPr>
        <w:t>Of the 1,508,303 shares of Common Stock owned, in the aggregate, by the Beneficial Owners, such shares of Common Stock may be deemed to be beneficially owned as follows: (a) 1,508,303 shares of Common Stock may be deemed to be beneficially owned by WCA by virtue of it being the investment advisor for each of the Whetstone Funds; and (b) 1,508,303 shares of Common Stock may be deemed to be beneficially owned by</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Mr. Atterbury by virtue of him being the manager of WCA. By virtue of their relationships to the Whetstone Funds, each of the Beneficial Owners may be deemed to have shared voting power and shared dispositive power with regard to the shares of Common Stock owned by the Whetstone Funds. As of the date hereof, neither Mr. Carlson nor Mr. Fein beneficially owns any shares of Common Stock or any other securities of the Company.</w:t>
      </w:r>
    </w:p>
    <w:p>
      <w:pPr>
        <w:spacing w:after="0" w:line="1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the 1,508,303 shares of Common Stock owned, in the aggregate, by the Beneficial Owners, such shares of Common Stock are directly owned as follows: (a) 100,000 shares of Common Stock are directly owned in record name by WCA; (b) 1,382,554 shares of Common Stock are directly owned by Whetstone LP Fund; and (c) 25,749 shares of Common Stock are directly owned by Digital Economy Fund.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2025-03-11T05:20:18Z</dcterms:created>
  <dcterms:modified xsi:type="dcterms:W3CDTF">2025-03-11T05:20:18Z</dcterms:modified>
</cp:coreProperties>
</file>