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Stelmakh Edward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6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10/11/2022</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CFO/COO</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60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03/29/2023</w:t>
            </w:r>
          </w:p>
        </w:tc>
        <w:tc>
          <w:tcPr>
            <w:tcW w:w="222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3,539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7,682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the reporting person filed a Form 4 which inadvertently overstated the number of shares withheld by the Issuer to satisfy the Reporting Person's tax withholding obligations. As reported in this amendment, the Issuer withheld 3,539 shares to satisfy the Reporting Person's tax withholding obligations (not 6,539 shares as previously reported). Such withholding is treated as a disposition of securities under Section 16 of the Securities Exchange Act of 1934, as amended.</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a result of the overstatement of the shares withheld by the Issuer to satisfy the Reporting Person's tax withholding obligations, the Reporting Person's holdings following the reported transaction were understated by the amount of such overstatement. This inadvertent understatement has been corrected in this amended filing. This understatement also affected subsequently filed Forms 4, but will be corrected in any Forms 4 filed after the date of this amended filing.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04/22/2024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2024-04-22T07:33:30Z</dcterms:created>
  <dcterms:modified xsi:type="dcterms:W3CDTF">2024-04-22T07:33:30Z</dcterms:modified>
</cp:coreProperties>
</file>